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30" w:rsidRPr="005B19CE" w:rsidRDefault="000F53BB" w:rsidP="005B19CE">
      <w:pPr>
        <w:pStyle w:val="Heading1"/>
      </w:pPr>
      <w:r>
        <w:br/>
      </w:r>
      <w:r>
        <w:br/>
      </w:r>
      <w:bookmarkStart w:id="0" w:name="_Toc477338721"/>
      <w:r w:rsidR="003A5D30" w:rsidRPr="005B19CE">
        <w:t xml:space="preserve">Community Safety </w:t>
      </w:r>
      <w:r w:rsidR="005B7655" w:rsidRPr="005B19CE">
        <w:t>and Crime Prevention Strategy</w:t>
      </w:r>
      <w:bookmarkEnd w:id="0"/>
    </w:p>
    <w:p w:rsidR="003A5D30" w:rsidRPr="00EF19B3" w:rsidRDefault="003A5D30" w:rsidP="00942871"/>
    <w:p w:rsidR="003A5D30" w:rsidRPr="005B7655" w:rsidRDefault="009F745B" w:rsidP="00942871">
      <w:pPr>
        <w:pStyle w:val="TitleDescip"/>
        <w:rPr>
          <w:rFonts w:eastAsiaTheme="majorEastAsia"/>
          <w:sz w:val="44"/>
        </w:rPr>
      </w:pPr>
      <w:r>
        <w:rPr>
          <w:rFonts w:eastAsiaTheme="majorEastAsia"/>
          <w:sz w:val="44"/>
        </w:rPr>
        <w:t>2016-2020</w:t>
      </w:r>
    </w:p>
    <w:p w:rsidR="003A5D30" w:rsidRDefault="003A5D30" w:rsidP="004C50DB">
      <w:pPr>
        <w:jc w:val="both"/>
        <w:rPr>
          <w:rFonts w:eastAsiaTheme="majorEastAsia"/>
        </w:rPr>
      </w:pPr>
      <w:r w:rsidRPr="009E3409">
        <w:rPr>
          <w:rFonts w:eastAsiaTheme="majorEastAsia"/>
        </w:rPr>
        <w:br w:type="page"/>
      </w:r>
    </w:p>
    <w:p w:rsidR="003A5D30" w:rsidRPr="003E504E" w:rsidRDefault="003A5D30" w:rsidP="004C50DB">
      <w:pPr>
        <w:jc w:val="both"/>
        <w:rPr>
          <w:rFonts w:eastAsiaTheme="majorEastAsia"/>
          <w:b/>
          <w:color w:val="072B61"/>
          <w:sz w:val="36"/>
          <w:szCs w:val="36"/>
        </w:rPr>
      </w:pPr>
      <w:r w:rsidRPr="003E504E">
        <w:rPr>
          <w:rFonts w:eastAsiaTheme="majorEastAsia"/>
          <w:b/>
          <w:color w:val="072B61"/>
          <w:sz w:val="36"/>
          <w:szCs w:val="36"/>
        </w:rPr>
        <w:lastRenderedPageBreak/>
        <w:t>Acknowledgement of Traditional Owners</w:t>
      </w:r>
    </w:p>
    <w:p w:rsidR="003A5D30" w:rsidRPr="003E504E" w:rsidRDefault="003A5D30" w:rsidP="004C50DB">
      <w:pPr>
        <w:jc w:val="both"/>
      </w:pPr>
      <w:r>
        <w:t xml:space="preserve">The City of Whittlesea recognises the rich Aboriginal heritage of this country and acknowledges the </w:t>
      </w:r>
      <w:proofErr w:type="spellStart"/>
      <w:r>
        <w:t>Wurundjeri</w:t>
      </w:r>
      <w:proofErr w:type="spellEnd"/>
      <w:r>
        <w:t xml:space="preserve"> </w:t>
      </w:r>
      <w:proofErr w:type="spellStart"/>
      <w:r>
        <w:t>Willum</w:t>
      </w:r>
      <w:proofErr w:type="spellEnd"/>
      <w:r>
        <w:t xml:space="preserve"> Clan as the traditional owners of this place.</w:t>
      </w:r>
    </w:p>
    <w:p w:rsidR="003A5D30" w:rsidRDefault="003A5D30" w:rsidP="004C50DB">
      <w:pPr>
        <w:jc w:val="both"/>
      </w:pPr>
    </w:p>
    <w:p w:rsidR="003A5D30" w:rsidRDefault="003A5D30" w:rsidP="004C50DB">
      <w:pPr>
        <w:jc w:val="both"/>
        <w:rPr>
          <w:rFonts w:eastAsiaTheme="majorEastAsia"/>
        </w:rPr>
      </w:pPr>
    </w:p>
    <w:p w:rsidR="00C5397F" w:rsidRPr="009E3409" w:rsidRDefault="003A5D30" w:rsidP="00D87898">
      <w:pPr>
        <w:pStyle w:val="Heading2"/>
      </w:pPr>
      <w:r>
        <w:br w:type="page"/>
      </w:r>
      <w:bookmarkStart w:id="1" w:name="_Toc477338722"/>
      <w:r w:rsidR="00C5397F" w:rsidRPr="00C5397F">
        <w:lastRenderedPageBreak/>
        <w:t>A message from the Mayor</w:t>
      </w:r>
      <w:bookmarkEnd w:id="1"/>
    </w:p>
    <w:p w:rsidR="006C2996" w:rsidRDefault="006C2996" w:rsidP="006C2996">
      <w:pPr>
        <w:spacing w:after="180"/>
        <w:jc w:val="both"/>
      </w:pPr>
      <w:r>
        <w:t>I am pleased to present the City of Whittlesea Community Safety and Crime Prevention Strategy 2016-2020.  This strategy reflects a partnership approach to prevent crime and improve community safety for our residents.</w:t>
      </w:r>
    </w:p>
    <w:p w:rsidR="006C2996" w:rsidRDefault="006C2996" w:rsidP="006C2996">
      <w:pPr>
        <w:spacing w:after="180"/>
        <w:jc w:val="both"/>
      </w:pPr>
      <w:r>
        <w:t>We know that community safety is one of the most significant issues for our residents.  Our Annual Household Survey consistently tells us that our community want Council to take action to prevent crime and improve safety.  Negative perceptions of safety are a barrier to residents accessing local open space and impacts on the health and wellbeing of our community in many different ways.</w:t>
      </w:r>
    </w:p>
    <w:p w:rsidR="006C2996" w:rsidRDefault="006C2996" w:rsidP="006C2996">
      <w:pPr>
        <w:spacing w:after="180"/>
        <w:jc w:val="both"/>
      </w:pPr>
      <w:r>
        <w:t>Council has a role as a provider, facilitator and advocate to improve community safety and help to reduce crime.  This Strategy will help us to work more collaboratively with our agencies and local police.  Progress will only be made with sustained partnership and collaborative efforts.</w:t>
      </w:r>
    </w:p>
    <w:p w:rsidR="006C2996" w:rsidRDefault="006C2996" w:rsidP="006C2996">
      <w:pPr>
        <w:spacing w:after="180"/>
        <w:jc w:val="both"/>
      </w:pPr>
      <w:r>
        <w:t>This Strategy articulates 10 themes that we will deliver on over the next four years as we work together with our community and local agencies to prevent crime and improve community safety for all.</w:t>
      </w:r>
    </w:p>
    <w:p w:rsidR="006C2996" w:rsidRDefault="006C2996" w:rsidP="006C2996">
      <w:pPr>
        <w:spacing w:after="180"/>
        <w:jc w:val="both"/>
      </w:pPr>
      <w:r>
        <w:t>I would like to thank everyone who has been involved in the development of the Community Safety and Crime Prevention Strategy 2016-2020, and particularly recognise the invaluable role of the agency members of the Community Safety and Crime Prevention Committee.</w:t>
      </w:r>
    </w:p>
    <w:p w:rsidR="006C2996" w:rsidRDefault="006C2996" w:rsidP="006C2996"/>
    <w:p w:rsidR="007B10C9" w:rsidRPr="00775B9E" w:rsidRDefault="007B10C9" w:rsidP="00860E61">
      <w:pPr>
        <w:spacing w:after="180"/>
        <w:jc w:val="both"/>
        <w:rPr>
          <w:b/>
        </w:rPr>
      </w:pPr>
      <w:r w:rsidRPr="00775B9E">
        <w:rPr>
          <w:b/>
        </w:rPr>
        <w:t xml:space="preserve">Cr </w:t>
      </w:r>
      <w:proofErr w:type="spellStart"/>
      <w:r w:rsidRPr="00775B9E">
        <w:rPr>
          <w:b/>
        </w:rPr>
        <w:t>Stevan</w:t>
      </w:r>
      <w:proofErr w:type="spellEnd"/>
      <w:r w:rsidRPr="00775B9E">
        <w:rPr>
          <w:b/>
        </w:rPr>
        <w:t xml:space="preserve"> </w:t>
      </w:r>
      <w:proofErr w:type="spellStart"/>
      <w:r w:rsidRPr="00775B9E">
        <w:rPr>
          <w:b/>
        </w:rPr>
        <w:t>Kozmevski</w:t>
      </w:r>
      <w:proofErr w:type="spellEnd"/>
    </w:p>
    <w:p w:rsidR="007B10C9" w:rsidRPr="00775B9E" w:rsidRDefault="007B10C9" w:rsidP="00860E61">
      <w:pPr>
        <w:spacing w:after="180"/>
        <w:jc w:val="both"/>
        <w:rPr>
          <w:b/>
        </w:rPr>
      </w:pPr>
      <w:r w:rsidRPr="00775B9E">
        <w:rPr>
          <w:b/>
        </w:rPr>
        <w:t>Mayor</w:t>
      </w:r>
    </w:p>
    <w:p w:rsidR="00B904B7" w:rsidRPr="00860E61" w:rsidRDefault="00B904B7" w:rsidP="00860E61">
      <w:pPr>
        <w:spacing w:after="180"/>
        <w:jc w:val="both"/>
      </w:pPr>
      <w:r>
        <w:rPr>
          <w:rFonts w:eastAsiaTheme="majorEastAsia"/>
          <w:b/>
          <w:color w:val="072B61"/>
          <w:sz w:val="36"/>
          <w:szCs w:val="36"/>
        </w:rPr>
        <w:br w:type="page"/>
      </w:r>
    </w:p>
    <w:p w:rsidR="00C5397F" w:rsidRPr="00C5397F" w:rsidRDefault="00C5397F" w:rsidP="00D87898">
      <w:pPr>
        <w:pStyle w:val="Heading2"/>
      </w:pPr>
      <w:bookmarkStart w:id="2" w:name="_Toc477338723"/>
      <w:r w:rsidRPr="00C5397F">
        <w:t>A message from the Local Area Commander Victoria Police</w:t>
      </w:r>
      <w:bookmarkEnd w:id="2"/>
    </w:p>
    <w:p w:rsidR="00B904B7" w:rsidRDefault="00B904B7" w:rsidP="00B904B7">
      <w:pPr>
        <w:jc w:val="both"/>
      </w:pPr>
      <w:r>
        <w:t xml:space="preserve">I am proud to have been involved in the development of the Community Safety and Crime Prevention Strategy because it is a critical step </w:t>
      </w:r>
      <w:r w:rsidR="001F2A6A">
        <w:t>to progress</w:t>
      </w:r>
      <w:r>
        <w:t xml:space="preserve"> a whole-of-community approach to policing issues.  Sir Robert Peel, the founder of modern policing, is quoted as saying:</w:t>
      </w:r>
    </w:p>
    <w:p w:rsidR="00B904B7" w:rsidRPr="00B904B7" w:rsidRDefault="00B904B7" w:rsidP="00B904B7">
      <w:pPr>
        <w:spacing w:before="100" w:beforeAutospacing="1" w:after="100" w:afterAutospacing="1"/>
        <w:ind w:left="720"/>
        <w:rPr>
          <w:i/>
        </w:rPr>
      </w:pPr>
      <w:r w:rsidRPr="00B904B7">
        <w:rPr>
          <w:i/>
        </w:rPr>
        <w:t>The police are the public and the public are the police; the police being only members of the public who are paid to give full time attention to duties which are incumbent on every citizen in the interests of community welfare and existence.</w:t>
      </w:r>
    </w:p>
    <w:p w:rsidR="00B904B7" w:rsidRDefault="00B904B7" w:rsidP="00B904B7">
      <w:pPr>
        <w:jc w:val="both"/>
      </w:pPr>
      <w:r>
        <w:t xml:space="preserve">I know from my many years involved in community safety and crime prevention that Police cannot adequately address these issues on their own.  We need the support of our local council, support agencies, community groups, business owners and the residents themselves.  We are very lucky in the City of Whittlesea that we are predominantly a community who are prepared to be involved, who do support each other and who look after each other.  In many ways, the CS&amp;CP Committee is representative of those values because we are representatives of the community.  </w:t>
      </w:r>
      <w:r w:rsidR="000F53BB">
        <w:br/>
      </w:r>
      <w:r>
        <w:t xml:space="preserve">Agencies represented on the Committee, together with Council and Police, are involved in delivering services to and </w:t>
      </w:r>
      <w:r w:rsidR="00040192">
        <w:t>advocating for</w:t>
      </w:r>
      <w:r>
        <w:t xml:space="preserve"> </w:t>
      </w:r>
      <w:r w:rsidR="00E64F4F">
        <w:t xml:space="preserve">the residents of </w:t>
      </w:r>
      <w:r w:rsidR="00040192">
        <w:t xml:space="preserve">the City of Whittlesea.  </w:t>
      </w:r>
      <w:r>
        <w:t xml:space="preserve">This Strategy outlines </w:t>
      </w:r>
      <w:r w:rsidR="00040192">
        <w:t xml:space="preserve">the broad themes we will focus on, what </w:t>
      </w:r>
      <w:r w:rsidR="00E64F4F">
        <w:t xml:space="preserve">success will look like over time and tools to measure our progress. </w:t>
      </w:r>
      <w:r>
        <w:t xml:space="preserve"> It is a structured representation of what we will be doing (and in many cases what we will continue to do) to keep the community safe and </w:t>
      </w:r>
      <w:r w:rsidR="001960DC">
        <w:t>minimise</w:t>
      </w:r>
      <w:r>
        <w:t xml:space="preserve"> crime.  </w:t>
      </w:r>
    </w:p>
    <w:p w:rsidR="00B904B7" w:rsidRDefault="00B904B7" w:rsidP="00B904B7">
      <w:pPr>
        <w:jc w:val="both"/>
      </w:pPr>
      <w:r>
        <w:t>I congratulate my committee partners for developing the Strategy and I look forward to its co-operative implementation.</w:t>
      </w:r>
    </w:p>
    <w:p w:rsidR="00E64F4F" w:rsidRDefault="00E64F4F" w:rsidP="00B904B7">
      <w:pPr>
        <w:jc w:val="both"/>
      </w:pPr>
    </w:p>
    <w:p w:rsidR="00B904B7" w:rsidRPr="00E64F4F" w:rsidRDefault="00B904B7" w:rsidP="00E64F4F">
      <w:pPr>
        <w:rPr>
          <w:b/>
        </w:rPr>
      </w:pPr>
      <w:r w:rsidRPr="00E64F4F">
        <w:rPr>
          <w:b/>
        </w:rPr>
        <w:t xml:space="preserve">Inspector Paul F. </w:t>
      </w:r>
      <w:proofErr w:type="spellStart"/>
      <w:r w:rsidRPr="00E64F4F">
        <w:rPr>
          <w:b/>
        </w:rPr>
        <w:t>Tysoe</w:t>
      </w:r>
      <w:proofErr w:type="spellEnd"/>
      <w:r w:rsidRPr="00E64F4F">
        <w:rPr>
          <w:b/>
        </w:rPr>
        <w:t xml:space="preserve"> </w:t>
      </w:r>
      <w:r w:rsidRPr="00040192">
        <w:rPr>
          <w:b/>
          <w:vertAlign w:val="subscript"/>
        </w:rPr>
        <w:t xml:space="preserve">B.A. Police Studies, </w:t>
      </w:r>
      <w:proofErr w:type="spellStart"/>
      <w:r w:rsidRPr="00040192">
        <w:rPr>
          <w:b/>
          <w:vertAlign w:val="subscript"/>
        </w:rPr>
        <w:t>GradCert</w:t>
      </w:r>
      <w:proofErr w:type="spellEnd"/>
      <w:r w:rsidRPr="00040192">
        <w:rPr>
          <w:b/>
          <w:vertAlign w:val="subscript"/>
        </w:rPr>
        <w:t xml:space="preserve"> Applied </w:t>
      </w:r>
      <w:proofErr w:type="spellStart"/>
      <w:r w:rsidRPr="00040192">
        <w:rPr>
          <w:b/>
          <w:vertAlign w:val="subscript"/>
        </w:rPr>
        <w:t>Mngt</w:t>
      </w:r>
      <w:proofErr w:type="spellEnd"/>
      <w:r w:rsidRPr="00040192">
        <w:rPr>
          <w:b/>
          <w:vertAlign w:val="subscript"/>
        </w:rPr>
        <w:t xml:space="preserve">, </w:t>
      </w:r>
      <w:proofErr w:type="spellStart"/>
      <w:r w:rsidRPr="00040192">
        <w:rPr>
          <w:b/>
          <w:vertAlign w:val="subscript"/>
        </w:rPr>
        <w:t>GradDip</w:t>
      </w:r>
      <w:proofErr w:type="spellEnd"/>
      <w:r w:rsidRPr="00040192">
        <w:rPr>
          <w:b/>
          <w:vertAlign w:val="subscript"/>
        </w:rPr>
        <w:t xml:space="preserve"> Exec. </w:t>
      </w:r>
      <w:proofErr w:type="spellStart"/>
      <w:r w:rsidRPr="00040192">
        <w:rPr>
          <w:b/>
          <w:vertAlign w:val="subscript"/>
        </w:rPr>
        <w:t>L’ship</w:t>
      </w:r>
      <w:proofErr w:type="spellEnd"/>
    </w:p>
    <w:p w:rsidR="00FF0CE3" w:rsidRDefault="00B904B7" w:rsidP="00E64F4F">
      <w:r w:rsidRPr="00E64F4F">
        <w:rPr>
          <w:b/>
        </w:rPr>
        <w:t>Co-Chair Community Safety &amp; Crime Prevention Committee</w:t>
      </w:r>
      <w:r>
        <w:t xml:space="preserve"> </w:t>
      </w:r>
    </w:p>
    <w:p w:rsidR="00C5397F" w:rsidRDefault="00C5397F" w:rsidP="00E64F4F">
      <w:pPr>
        <w:rPr>
          <w:rFonts w:eastAsiaTheme="majorEastAsia" w:cstheme="majorBidi"/>
          <w:b/>
          <w:bCs/>
          <w:color w:val="00A4E4"/>
          <w:sz w:val="44"/>
          <w:szCs w:val="28"/>
        </w:rPr>
      </w:pPr>
      <w:r>
        <w:rPr>
          <w:color w:val="00A4E4"/>
          <w:sz w:val="44"/>
          <w:szCs w:val="28"/>
        </w:rPr>
        <w:br w:type="page"/>
      </w:r>
    </w:p>
    <w:p w:rsidR="003A5D30" w:rsidRPr="003E504E" w:rsidRDefault="003A5D30" w:rsidP="00D87898">
      <w:pPr>
        <w:pStyle w:val="Heading2"/>
      </w:pPr>
      <w:bookmarkStart w:id="3" w:name="_Toc477338724"/>
      <w:r w:rsidRPr="003E504E">
        <w:t>Table of Contents</w:t>
      </w:r>
      <w:bookmarkEnd w:id="3"/>
    </w:p>
    <w:p w:rsidR="00AF4DE9" w:rsidRDefault="003A5D30">
      <w:pPr>
        <w:pStyle w:val="TOC1"/>
        <w:tabs>
          <w:tab w:val="right" w:leader="dot" w:pos="8302"/>
        </w:tabs>
        <w:rPr>
          <w:rFonts w:asciiTheme="minorHAnsi" w:eastAsiaTheme="minorEastAsia" w:hAnsiTheme="minorHAnsi" w:cstheme="minorBidi"/>
          <w:noProof/>
          <w:color w:val="auto"/>
          <w:sz w:val="22"/>
          <w:szCs w:val="22"/>
        </w:rPr>
      </w:pPr>
      <w:r>
        <w:fldChar w:fldCharType="begin"/>
      </w:r>
      <w:r>
        <w:instrText xml:space="preserve"> TOC \o "1-4" \h \z \u </w:instrText>
      </w:r>
      <w:r>
        <w:fldChar w:fldCharType="separate"/>
      </w:r>
      <w:hyperlink w:anchor="_Toc477338721" w:history="1">
        <w:r w:rsidR="00AF4DE9" w:rsidRPr="004E1A58">
          <w:rPr>
            <w:rStyle w:val="Hyperlink"/>
            <w:noProof/>
          </w:rPr>
          <w:t>Community Safety and Crime Prevention Strategy</w:t>
        </w:r>
        <w:r w:rsidR="00AF4DE9">
          <w:rPr>
            <w:noProof/>
            <w:webHidden/>
          </w:rPr>
          <w:tab/>
        </w:r>
        <w:r w:rsidR="00AF4DE9">
          <w:rPr>
            <w:noProof/>
            <w:webHidden/>
          </w:rPr>
          <w:fldChar w:fldCharType="begin"/>
        </w:r>
        <w:r w:rsidR="00AF4DE9">
          <w:rPr>
            <w:noProof/>
            <w:webHidden/>
          </w:rPr>
          <w:instrText xml:space="preserve"> PAGEREF _Toc477338721 \h </w:instrText>
        </w:r>
        <w:r w:rsidR="00AF4DE9">
          <w:rPr>
            <w:noProof/>
            <w:webHidden/>
          </w:rPr>
        </w:r>
        <w:r w:rsidR="00AF4DE9">
          <w:rPr>
            <w:noProof/>
            <w:webHidden/>
          </w:rPr>
          <w:fldChar w:fldCharType="separate"/>
        </w:r>
        <w:r w:rsidR="00780611">
          <w:rPr>
            <w:noProof/>
            <w:webHidden/>
          </w:rPr>
          <w:t>1</w:t>
        </w:r>
        <w:r w:rsidR="00AF4DE9">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22" w:history="1">
        <w:r w:rsidRPr="004E1A58">
          <w:rPr>
            <w:rStyle w:val="Hyperlink"/>
            <w:noProof/>
          </w:rPr>
          <w:t>A message from the Mayor</w:t>
        </w:r>
        <w:r>
          <w:rPr>
            <w:noProof/>
            <w:webHidden/>
          </w:rPr>
          <w:tab/>
        </w:r>
        <w:r>
          <w:rPr>
            <w:noProof/>
            <w:webHidden/>
          </w:rPr>
          <w:fldChar w:fldCharType="begin"/>
        </w:r>
        <w:r>
          <w:rPr>
            <w:noProof/>
            <w:webHidden/>
          </w:rPr>
          <w:instrText xml:space="preserve"> PAGEREF _Toc477338722 \h </w:instrText>
        </w:r>
        <w:r>
          <w:rPr>
            <w:noProof/>
            <w:webHidden/>
          </w:rPr>
        </w:r>
        <w:r>
          <w:rPr>
            <w:noProof/>
            <w:webHidden/>
          </w:rPr>
          <w:fldChar w:fldCharType="separate"/>
        </w:r>
        <w:r w:rsidR="00780611">
          <w:rPr>
            <w:noProof/>
            <w:webHidden/>
          </w:rPr>
          <w:t>3</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23" w:history="1">
        <w:r w:rsidRPr="004E1A58">
          <w:rPr>
            <w:rStyle w:val="Hyperlink"/>
            <w:noProof/>
          </w:rPr>
          <w:t>A message from the Local Area Commander Victoria Police</w:t>
        </w:r>
        <w:r>
          <w:rPr>
            <w:noProof/>
            <w:webHidden/>
          </w:rPr>
          <w:tab/>
        </w:r>
        <w:r>
          <w:rPr>
            <w:noProof/>
            <w:webHidden/>
          </w:rPr>
          <w:fldChar w:fldCharType="begin"/>
        </w:r>
        <w:r>
          <w:rPr>
            <w:noProof/>
            <w:webHidden/>
          </w:rPr>
          <w:instrText xml:space="preserve"> PAGEREF _Toc477338723 \h </w:instrText>
        </w:r>
        <w:r>
          <w:rPr>
            <w:noProof/>
            <w:webHidden/>
          </w:rPr>
        </w:r>
        <w:r>
          <w:rPr>
            <w:noProof/>
            <w:webHidden/>
          </w:rPr>
          <w:fldChar w:fldCharType="separate"/>
        </w:r>
        <w:r w:rsidR="00780611">
          <w:rPr>
            <w:noProof/>
            <w:webHidden/>
          </w:rPr>
          <w:t>4</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24" w:history="1">
        <w:r w:rsidRPr="004E1A58">
          <w:rPr>
            <w:rStyle w:val="Hyperlink"/>
            <w:noProof/>
          </w:rPr>
          <w:t>Table of Contents</w:t>
        </w:r>
        <w:r>
          <w:rPr>
            <w:noProof/>
            <w:webHidden/>
          </w:rPr>
          <w:tab/>
        </w:r>
        <w:r>
          <w:rPr>
            <w:noProof/>
            <w:webHidden/>
          </w:rPr>
          <w:fldChar w:fldCharType="begin"/>
        </w:r>
        <w:r>
          <w:rPr>
            <w:noProof/>
            <w:webHidden/>
          </w:rPr>
          <w:instrText xml:space="preserve"> PAGEREF _Toc477338724 \h </w:instrText>
        </w:r>
        <w:r>
          <w:rPr>
            <w:noProof/>
            <w:webHidden/>
          </w:rPr>
        </w:r>
        <w:r>
          <w:rPr>
            <w:noProof/>
            <w:webHidden/>
          </w:rPr>
          <w:fldChar w:fldCharType="separate"/>
        </w:r>
        <w:r w:rsidR="00780611">
          <w:rPr>
            <w:noProof/>
            <w:webHidden/>
          </w:rPr>
          <w:t>5</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25" w:history="1">
        <w:r w:rsidRPr="004E1A58">
          <w:rPr>
            <w:rStyle w:val="Hyperlink"/>
            <w:noProof/>
          </w:rPr>
          <w:t>Executive summary</w:t>
        </w:r>
        <w:r>
          <w:rPr>
            <w:noProof/>
            <w:webHidden/>
          </w:rPr>
          <w:tab/>
        </w:r>
        <w:r>
          <w:rPr>
            <w:noProof/>
            <w:webHidden/>
          </w:rPr>
          <w:fldChar w:fldCharType="begin"/>
        </w:r>
        <w:r>
          <w:rPr>
            <w:noProof/>
            <w:webHidden/>
          </w:rPr>
          <w:instrText xml:space="preserve"> PAGEREF _Toc477338725 \h </w:instrText>
        </w:r>
        <w:r>
          <w:rPr>
            <w:noProof/>
            <w:webHidden/>
          </w:rPr>
        </w:r>
        <w:r>
          <w:rPr>
            <w:noProof/>
            <w:webHidden/>
          </w:rPr>
          <w:fldChar w:fldCharType="separate"/>
        </w:r>
        <w:r w:rsidR="00780611">
          <w:rPr>
            <w:noProof/>
            <w:webHidden/>
          </w:rPr>
          <w:t>8</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26" w:history="1">
        <w:r w:rsidRPr="004E1A58">
          <w:rPr>
            <w:rStyle w:val="Hyperlink"/>
            <w:noProof/>
          </w:rPr>
          <w:t>Background</w:t>
        </w:r>
        <w:r>
          <w:rPr>
            <w:noProof/>
            <w:webHidden/>
          </w:rPr>
          <w:tab/>
        </w:r>
        <w:r>
          <w:rPr>
            <w:noProof/>
            <w:webHidden/>
          </w:rPr>
          <w:fldChar w:fldCharType="begin"/>
        </w:r>
        <w:r>
          <w:rPr>
            <w:noProof/>
            <w:webHidden/>
          </w:rPr>
          <w:instrText xml:space="preserve"> PAGEREF _Toc477338726 \h </w:instrText>
        </w:r>
        <w:r>
          <w:rPr>
            <w:noProof/>
            <w:webHidden/>
          </w:rPr>
        </w:r>
        <w:r>
          <w:rPr>
            <w:noProof/>
            <w:webHidden/>
          </w:rPr>
          <w:fldChar w:fldCharType="separate"/>
        </w:r>
        <w:r w:rsidR="00780611">
          <w:rPr>
            <w:noProof/>
            <w:webHidden/>
          </w:rPr>
          <w:t>9</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27" w:history="1">
        <w:r w:rsidRPr="004E1A58">
          <w:rPr>
            <w:rStyle w:val="Hyperlink"/>
            <w:noProof/>
          </w:rPr>
          <w:t>Consultation and engagement</w:t>
        </w:r>
        <w:r>
          <w:rPr>
            <w:noProof/>
            <w:webHidden/>
          </w:rPr>
          <w:tab/>
        </w:r>
        <w:r>
          <w:rPr>
            <w:noProof/>
            <w:webHidden/>
          </w:rPr>
          <w:fldChar w:fldCharType="begin"/>
        </w:r>
        <w:r>
          <w:rPr>
            <w:noProof/>
            <w:webHidden/>
          </w:rPr>
          <w:instrText xml:space="preserve"> PAGEREF _Toc477338727 \h </w:instrText>
        </w:r>
        <w:r>
          <w:rPr>
            <w:noProof/>
            <w:webHidden/>
          </w:rPr>
        </w:r>
        <w:r>
          <w:rPr>
            <w:noProof/>
            <w:webHidden/>
          </w:rPr>
          <w:fldChar w:fldCharType="separate"/>
        </w:r>
        <w:r w:rsidR="00780611">
          <w:rPr>
            <w:noProof/>
            <w:webHidden/>
          </w:rPr>
          <w:t>10</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28" w:history="1">
        <w:r w:rsidRPr="004E1A58">
          <w:rPr>
            <w:rStyle w:val="Hyperlink"/>
            <w:noProof/>
          </w:rPr>
          <w:t>Policy context</w:t>
        </w:r>
        <w:r>
          <w:rPr>
            <w:noProof/>
            <w:webHidden/>
          </w:rPr>
          <w:tab/>
        </w:r>
        <w:r>
          <w:rPr>
            <w:noProof/>
            <w:webHidden/>
          </w:rPr>
          <w:fldChar w:fldCharType="begin"/>
        </w:r>
        <w:r>
          <w:rPr>
            <w:noProof/>
            <w:webHidden/>
          </w:rPr>
          <w:instrText xml:space="preserve"> PAGEREF _Toc477338728 \h </w:instrText>
        </w:r>
        <w:r>
          <w:rPr>
            <w:noProof/>
            <w:webHidden/>
          </w:rPr>
        </w:r>
        <w:r>
          <w:rPr>
            <w:noProof/>
            <w:webHidden/>
          </w:rPr>
          <w:fldChar w:fldCharType="separate"/>
        </w:r>
        <w:r w:rsidR="00780611">
          <w:rPr>
            <w:noProof/>
            <w:webHidden/>
          </w:rPr>
          <w:t>11</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29" w:history="1">
        <w:r w:rsidRPr="004E1A58">
          <w:rPr>
            <w:rStyle w:val="Hyperlink"/>
            <w:noProof/>
            <w:lang w:val="en-GB"/>
          </w:rPr>
          <w:t>Parliamentary Inquiry into Locally Based Approaches to Community Safety and Crime Prevention (2012)</w:t>
        </w:r>
        <w:r>
          <w:rPr>
            <w:noProof/>
            <w:webHidden/>
          </w:rPr>
          <w:tab/>
        </w:r>
        <w:r>
          <w:rPr>
            <w:noProof/>
            <w:webHidden/>
          </w:rPr>
          <w:fldChar w:fldCharType="begin"/>
        </w:r>
        <w:r>
          <w:rPr>
            <w:noProof/>
            <w:webHidden/>
          </w:rPr>
          <w:instrText xml:space="preserve"> PAGEREF _Toc477338729 \h </w:instrText>
        </w:r>
        <w:r>
          <w:rPr>
            <w:noProof/>
            <w:webHidden/>
          </w:rPr>
        </w:r>
        <w:r>
          <w:rPr>
            <w:noProof/>
            <w:webHidden/>
          </w:rPr>
          <w:fldChar w:fldCharType="separate"/>
        </w:r>
        <w:r w:rsidR="00780611">
          <w:rPr>
            <w:noProof/>
            <w:webHidden/>
          </w:rPr>
          <w:t>11</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30" w:history="1">
        <w:r w:rsidRPr="004E1A58">
          <w:rPr>
            <w:rStyle w:val="Hyperlink"/>
            <w:noProof/>
            <w:lang w:val="en-GB"/>
          </w:rPr>
          <w:t>National Crime Prevention Framework</w:t>
        </w:r>
        <w:r>
          <w:rPr>
            <w:noProof/>
            <w:webHidden/>
          </w:rPr>
          <w:tab/>
        </w:r>
        <w:r>
          <w:rPr>
            <w:noProof/>
            <w:webHidden/>
          </w:rPr>
          <w:fldChar w:fldCharType="begin"/>
        </w:r>
        <w:r>
          <w:rPr>
            <w:noProof/>
            <w:webHidden/>
          </w:rPr>
          <w:instrText xml:space="preserve"> PAGEREF _Toc477338730 \h </w:instrText>
        </w:r>
        <w:r>
          <w:rPr>
            <w:noProof/>
            <w:webHidden/>
          </w:rPr>
        </w:r>
        <w:r>
          <w:rPr>
            <w:noProof/>
            <w:webHidden/>
          </w:rPr>
          <w:fldChar w:fldCharType="separate"/>
        </w:r>
        <w:r w:rsidR="00780611">
          <w:rPr>
            <w:noProof/>
            <w:webHidden/>
          </w:rPr>
          <w:t>11</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31" w:history="1">
        <w:r w:rsidRPr="004E1A58">
          <w:rPr>
            <w:rStyle w:val="Hyperlink"/>
            <w:noProof/>
            <w:lang w:val="en-GB"/>
          </w:rPr>
          <w:t>Community Crime Prevention Framework</w:t>
        </w:r>
        <w:r>
          <w:rPr>
            <w:noProof/>
            <w:webHidden/>
          </w:rPr>
          <w:tab/>
        </w:r>
        <w:r>
          <w:rPr>
            <w:noProof/>
            <w:webHidden/>
          </w:rPr>
          <w:fldChar w:fldCharType="begin"/>
        </w:r>
        <w:r>
          <w:rPr>
            <w:noProof/>
            <w:webHidden/>
          </w:rPr>
          <w:instrText xml:space="preserve"> PAGEREF _Toc477338731 \h </w:instrText>
        </w:r>
        <w:r>
          <w:rPr>
            <w:noProof/>
            <w:webHidden/>
          </w:rPr>
        </w:r>
        <w:r>
          <w:rPr>
            <w:noProof/>
            <w:webHidden/>
          </w:rPr>
          <w:fldChar w:fldCharType="separate"/>
        </w:r>
        <w:r w:rsidR="00780611">
          <w:rPr>
            <w:noProof/>
            <w:webHidden/>
          </w:rPr>
          <w:t>11</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32" w:history="1">
        <w:r w:rsidRPr="004E1A58">
          <w:rPr>
            <w:rStyle w:val="Hyperlink"/>
            <w:noProof/>
            <w:lang w:val="en-GB"/>
          </w:rPr>
          <w:t>Local Government Act (1989)</w:t>
        </w:r>
        <w:r>
          <w:rPr>
            <w:noProof/>
            <w:webHidden/>
          </w:rPr>
          <w:tab/>
        </w:r>
        <w:r>
          <w:rPr>
            <w:noProof/>
            <w:webHidden/>
          </w:rPr>
          <w:fldChar w:fldCharType="begin"/>
        </w:r>
        <w:r>
          <w:rPr>
            <w:noProof/>
            <w:webHidden/>
          </w:rPr>
          <w:instrText xml:space="preserve"> PAGEREF _Toc477338732 \h </w:instrText>
        </w:r>
        <w:r>
          <w:rPr>
            <w:noProof/>
            <w:webHidden/>
          </w:rPr>
        </w:r>
        <w:r>
          <w:rPr>
            <w:noProof/>
            <w:webHidden/>
          </w:rPr>
          <w:fldChar w:fldCharType="separate"/>
        </w:r>
        <w:r w:rsidR="00780611">
          <w:rPr>
            <w:noProof/>
            <w:webHidden/>
          </w:rPr>
          <w:t>11</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33" w:history="1">
        <w:r w:rsidRPr="004E1A58">
          <w:rPr>
            <w:rStyle w:val="Hyperlink"/>
            <w:noProof/>
            <w:lang w:val="en-GB"/>
          </w:rPr>
          <w:t>Local Area Community Safety Plan (2012)</w:t>
        </w:r>
        <w:r>
          <w:rPr>
            <w:noProof/>
            <w:webHidden/>
          </w:rPr>
          <w:tab/>
        </w:r>
        <w:r>
          <w:rPr>
            <w:noProof/>
            <w:webHidden/>
          </w:rPr>
          <w:fldChar w:fldCharType="begin"/>
        </w:r>
        <w:r>
          <w:rPr>
            <w:noProof/>
            <w:webHidden/>
          </w:rPr>
          <w:instrText xml:space="preserve"> PAGEREF _Toc477338733 \h </w:instrText>
        </w:r>
        <w:r>
          <w:rPr>
            <w:noProof/>
            <w:webHidden/>
          </w:rPr>
        </w:r>
        <w:r>
          <w:rPr>
            <w:noProof/>
            <w:webHidden/>
          </w:rPr>
          <w:fldChar w:fldCharType="separate"/>
        </w:r>
        <w:r w:rsidR="00780611">
          <w:rPr>
            <w:noProof/>
            <w:webHidden/>
          </w:rPr>
          <w:t>11</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34" w:history="1">
        <w:r w:rsidRPr="004E1A58">
          <w:rPr>
            <w:rStyle w:val="Hyperlink"/>
            <w:noProof/>
            <w:lang w:val="en-GB"/>
          </w:rPr>
          <w:t>City of Whittlesea Community Building Policy</w:t>
        </w:r>
        <w:r>
          <w:rPr>
            <w:noProof/>
            <w:webHidden/>
          </w:rPr>
          <w:tab/>
        </w:r>
        <w:r>
          <w:rPr>
            <w:noProof/>
            <w:webHidden/>
          </w:rPr>
          <w:fldChar w:fldCharType="begin"/>
        </w:r>
        <w:r>
          <w:rPr>
            <w:noProof/>
            <w:webHidden/>
          </w:rPr>
          <w:instrText xml:space="preserve"> PAGEREF _Toc477338734 \h </w:instrText>
        </w:r>
        <w:r>
          <w:rPr>
            <w:noProof/>
            <w:webHidden/>
          </w:rPr>
        </w:r>
        <w:r>
          <w:rPr>
            <w:noProof/>
            <w:webHidden/>
          </w:rPr>
          <w:fldChar w:fldCharType="separate"/>
        </w:r>
        <w:r w:rsidR="00780611">
          <w:rPr>
            <w:noProof/>
            <w:webHidden/>
          </w:rPr>
          <w:t>11</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35" w:history="1">
        <w:r w:rsidRPr="004E1A58">
          <w:rPr>
            <w:rStyle w:val="Hyperlink"/>
            <w:noProof/>
            <w:lang w:val="en-GB"/>
          </w:rPr>
          <w:t>City of Whittlesea Council Plan &amp; Municipal Public Health and Wellbeing Plan 2013-2017</w:t>
        </w:r>
        <w:r>
          <w:rPr>
            <w:noProof/>
            <w:webHidden/>
          </w:rPr>
          <w:tab/>
        </w:r>
        <w:r>
          <w:rPr>
            <w:noProof/>
            <w:webHidden/>
          </w:rPr>
          <w:fldChar w:fldCharType="begin"/>
        </w:r>
        <w:r>
          <w:rPr>
            <w:noProof/>
            <w:webHidden/>
          </w:rPr>
          <w:instrText xml:space="preserve"> PAGEREF _Toc477338735 \h </w:instrText>
        </w:r>
        <w:r>
          <w:rPr>
            <w:noProof/>
            <w:webHidden/>
          </w:rPr>
        </w:r>
        <w:r>
          <w:rPr>
            <w:noProof/>
            <w:webHidden/>
          </w:rPr>
          <w:fldChar w:fldCharType="separate"/>
        </w:r>
        <w:r w:rsidR="00780611">
          <w:rPr>
            <w:noProof/>
            <w:webHidden/>
          </w:rPr>
          <w:t>12</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36" w:history="1">
        <w:r w:rsidRPr="004E1A58">
          <w:rPr>
            <w:rStyle w:val="Hyperlink"/>
            <w:noProof/>
          </w:rPr>
          <w:t>City of Whittlesea policy links</w:t>
        </w:r>
        <w:r>
          <w:rPr>
            <w:noProof/>
            <w:webHidden/>
          </w:rPr>
          <w:tab/>
        </w:r>
        <w:r>
          <w:rPr>
            <w:noProof/>
            <w:webHidden/>
          </w:rPr>
          <w:fldChar w:fldCharType="begin"/>
        </w:r>
        <w:r>
          <w:rPr>
            <w:noProof/>
            <w:webHidden/>
          </w:rPr>
          <w:instrText xml:space="preserve"> PAGEREF _Toc477338736 \h </w:instrText>
        </w:r>
        <w:r>
          <w:rPr>
            <w:noProof/>
            <w:webHidden/>
          </w:rPr>
        </w:r>
        <w:r>
          <w:rPr>
            <w:noProof/>
            <w:webHidden/>
          </w:rPr>
          <w:fldChar w:fldCharType="separate"/>
        </w:r>
        <w:r w:rsidR="00780611">
          <w:rPr>
            <w:noProof/>
            <w:webHidden/>
          </w:rPr>
          <w:t>12</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37" w:history="1">
        <w:r w:rsidRPr="004E1A58">
          <w:rPr>
            <w:rStyle w:val="Hyperlink"/>
            <w:noProof/>
          </w:rPr>
          <w:t>Community Safety and Crime Prevention Policy</w:t>
        </w:r>
        <w:r>
          <w:rPr>
            <w:noProof/>
            <w:webHidden/>
          </w:rPr>
          <w:tab/>
        </w:r>
        <w:r>
          <w:rPr>
            <w:noProof/>
            <w:webHidden/>
          </w:rPr>
          <w:fldChar w:fldCharType="begin"/>
        </w:r>
        <w:r>
          <w:rPr>
            <w:noProof/>
            <w:webHidden/>
          </w:rPr>
          <w:instrText xml:space="preserve"> PAGEREF _Toc477338737 \h </w:instrText>
        </w:r>
        <w:r>
          <w:rPr>
            <w:noProof/>
            <w:webHidden/>
          </w:rPr>
        </w:r>
        <w:r>
          <w:rPr>
            <w:noProof/>
            <w:webHidden/>
          </w:rPr>
          <w:fldChar w:fldCharType="separate"/>
        </w:r>
        <w:r w:rsidR="00780611">
          <w:rPr>
            <w:noProof/>
            <w:webHidden/>
          </w:rPr>
          <w:t>13</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38" w:history="1">
        <w:r w:rsidRPr="004E1A58">
          <w:rPr>
            <w:rStyle w:val="Hyperlink"/>
            <w:noProof/>
          </w:rPr>
          <w:t>Policy statement</w:t>
        </w:r>
        <w:r>
          <w:rPr>
            <w:noProof/>
            <w:webHidden/>
          </w:rPr>
          <w:tab/>
        </w:r>
        <w:r>
          <w:rPr>
            <w:noProof/>
            <w:webHidden/>
          </w:rPr>
          <w:fldChar w:fldCharType="begin"/>
        </w:r>
        <w:r>
          <w:rPr>
            <w:noProof/>
            <w:webHidden/>
          </w:rPr>
          <w:instrText xml:space="preserve"> PAGEREF _Toc477338738 \h </w:instrText>
        </w:r>
        <w:r>
          <w:rPr>
            <w:noProof/>
            <w:webHidden/>
          </w:rPr>
        </w:r>
        <w:r>
          <w:rPr>
            <w:noProof/>
            <w:webHidden/>
          </w:rPr>
          <w:fldChar w:fldCharType="separate"/>
        </w:r>
        <w:r w:rsidR="00780611">
          <w:rPr>
            <w:noProof/>
            <w:webHidden/>
          </w:rPr>
          <w:t>13</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39" w:history="1">
        <w:r w:rsidRPr="004E1A58">
          <w:rPr>
            <w:rStyle w:val="Hyperlink"/>
            <w:noProof/>
          </w:rPr>
          <w:t>Policy principles</w:t>
        </w:r>
        <w:r>
          <w:rPr>
            <w:noProof/>
            <w:webHidden/>
          </w:rPr>
          <w:tab/>
        </w:r>
        <w:r>
          <w:rPr>
            <w:noProof/>
            <w:webHidden/>
          </w:rPr>
          <w:fldChar w:fldCharType="begin"/>
        </w:r>
        <w:r>
          <w:rPr>
            <w:noProof/>
            <w:webHidden/>
          </w:rPr>
          <w:instrText xml:space="preserve"> PAGEREF _Toc477338739 \h </w:instrText>
        </w:r>
        <w:r>
          <w:rPr>
            <w:noProof/>
            <w:webHidden/>
          </w:rPr>
        </w:r>
        <w:r>
          <w:rPr>
            <w:noProof/>
            <w:webHidden/>
          </w:rPr>
          <w:fldChar w:fldCharType="separate"/>
        </w:r>
        <w:r w:rsidR="00780611">
          <w:rPr>
            <w:noProof/>
            <w:webHidden/>
          </w:rPr>
          <w:t>13</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40" w:history="1">
        <w:r w:rsidRPr="004E1A58">
          <w:rPr>
            <w:rStyle w:val="Hyperlink"/>
            <w:noProof/>
          </w:rPr>
          <w:t>Demographics</w:t>
        </w:r>
        <w:r>
          <w:rPr>
            <w:noProof/>
            <w:webHidden/>
          </w:rPr>
          <w:tab/>
        </w:r>
        <w:r>
          <w:rPr>
            <w:noProof/>
            <w:webHidden/>
          </w:rPr>
          <w:fldChar w:fldCharType="begin"/>
        </w:r>
        <w:r>
          <w:rPr>
            <w:noProof/>
            <w:webHidden/>
          </w:rPr>
          <w:instrText xml:space="preserve"> PAGEREF _Toc477338740 \h </w:instrText>
        </w:r>
        <w:r>
          <w:rPr>
            <w:noProof/>
            <w:webHidden/>
          </w:rPr>
        </w:r>
        <w:r>
          <w:rPr>
            <w:noProof/>
            <w:webHidden/>
          </w:rPr>
          <w:fldChar w:fldCharType="separate"/>
        </w:r>
        <w:r w:rsidR="00780611">
          <w:rPr>
            <w:noProof/>
            <w:webHidden/>
          </w:rPr>
          <w:t>14</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41" w:history="1">
        <w:r w:rsidRPr="004E1A58">
          <w:rPr>
            <w:rStyle w:val="Hyperlink"/>
            <w:noProof/>
          </w:rPr>
          <w:t>Crime prevention theory and evidence</w:t>
        </w:r>
        <w:r>
          <w:rPr>
            <w:noProof/>
            <w:webHidden/>
          </w:rPr>
          <w:tab/>
        </w:r>
        <w:r>
          <w:rPr>
            <w:noProof/>
            <w:webHidden/>
          </w:rPr>
          <w:fldChar w:fldCharType="begin"/>
        </w:r>
        <w:r>
          <w:rPr>
            <w:noProof/>
            <w:webHidden/>
          </w:rPr>
          <w:instrText xml:space="preserve"> PAGEREF _Toc477338741 \h </w:instrText>
        </w:r>
        <w:r>
          <w:rPr>
            <w:noProof/>
            <w:webHidden/>
          </w:rPr>
        </w:r>
        <w:r>
          <w:rPr>
            <w:noProof/>
            <w:webHidden/>
          </w:rPr>
          <w:fldChar w:fldCharType="separate"/>
        </w:r>
        <w:r w:rsidR="00780611">
          <w:rPr>
            <w:noProof/>
            <w:webHidden/>
          </w:rPr>
          <w:t>15</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42" w:history="1">
        <w:r w:rsidRPr="004E1A58">
          <w:rPr>
            <w:rStyle w:val="Hyperlink"/>
            <w:noProof/>
            <w:lang w:val="en-GB"/>
          </w:rPr>
          <w:t>A snapshot</w:t>
        </w:r>
        <w:r>
          <w:rPr>
            <w:noProof/>
            <w:webHidden/>
          </w:rPr>
          <w:tab/>
        </w:r>
        <w:r>
          <w:rPr>
            <w:noProof/>
            <w:webHidden/>
          </w:rPr>
          <w:fldChar w:fldCharType="begin"/>
        </w:r>
        <w:r>
          <w:rPr>
            <w:noProof/>
            <w:webHidden/>
          </w:rPr>
          <w:instrText xml:space="preserve"> PAGEREF _Toc477338742 \h </w:instrText>
        </w:r>
        <w:r>
          <w:rPr>
            <w:noProof/>
            <w:webHidden/>
          </w:rPr>
        </w:r>
        <w:r>
          <w:rPr>
            <w:noProof/>
            <w:webHidden/>
          </w:rPr>
          <w:fldChar w:fldCharType="separate"/>
        </w:r>
        <w:r w:rsidR="00780611">
          <w:rPr>
            <w:noProof/>
            <w:webHidden/>
          </w:rPr>
          <w:t>15</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43" w:history="1">
        <w:r w:rsidRPr="004E1A58">
          <w:rPr>
            <w:rStyle w:val="Hyperlink"/>
            <w:noProof/>
          </w:rPr>
          <w:t>The role of local government in crime prevention</w:t>
        </w:r>
        <w:r>
          <w:rPr>
            <w:noProof/>
            <w:webHidden/>
          </w:rPr>
          <w:tab/>
        </w:r>
        <w:r>
          <w:rPr>
            <w:noProof/>
            <w:webHidden/>
          </w:rPr>
          <w:fldChar w:fldCharType="begin"/>
        </w:r>
        <w:r>
          <w:rPr>
            <w:noProof/>
            <w:webHidden/>
          </w:rPr>
          <w:instrText xml:space="preserve"> PAGEREF _Toc477338743 \h </w:instrText>
        </w:r>
        <w:r>
          <w:rPr>
            <w:noProof/>
            <w:webHidden/>
          </w:rPr>
        </w:r>
        <w:r>
          <w:rPr>
            <w:noProof/>
            <w:webHidden/>
          </w:rPr>
          <w:fldChar w:fldCharType="separate"/>
        </w:r>
        <w:r w:rsidR="00780611">
          <w:rPr>
            <w:noProof/>
            <w:webHidden/>
          </w:rPr>
          <w:t>16</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44" w:history="1">
        <w:r w:rsidRPr="004E1A58">
          <w:rPr>
            <w:rStyle w:val="Hyperlink"/>
            <w:rFonts w:eastAsiaTheme="majorEastAsia"/>
            <w:noProof/>
            <w:lang w:val="en-GB"/>
          </w:rPr>
          <w:t>Approaches to preventing crime</w:t>
        </w:r>
        <w:r>
          <w:rPr>
            <w:noProof/>
            <w:webHidden/>
          </w:rPr>
          <w:tab/>
        </w:r>
        <w:r>
          <w:rPr>
            <w:noProof/>
            <w:webHidden/>
          </w:rPr>
          <w:fldChar w:fldCharType="begin"/>
        </w:r>
        <w:r>
          <w:rPr>
            <w:noProof/>
            <w:webHidden/>
          </w:rPr>
          <w:instrText xml:space="preserve"> PAGEREF _Toc477338744 \h </w:instrText>
        </w:r>
        <w:r>
          <w:rPr>
            <w:noProof/>
            <w:webHidden/>
          </w:rPr>
        </w:r>
        <w:r>
          <w:rPr>
            <w:noProof/>
            <w:webHidden/>
          </w:rPr>
          <w:fldChar w:fldCharType="separate"/>
        </w:r>
        <w:r w:rsidR="00780611">
          <w:rPr>
            <w:noProof/>
            <w:webHidden/>
          </w:rPr>
          <w:t>17</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45" w:history="1">
        <w:r w:rsidRPr="004E1A58">
          <w:rPr>
            <w:rStyle w:val="Hyperlink"/>
            <w:noProof/>
          </w:rPr>
          <w:t>Snapshot of local data</w:t>
        </w:r>
        <w:r>
          <w:rPr>
            <w:noProof/>
            <w:webHidden/>
          </w:rPr>
          <w:tab/>
        </w:r>
        <w:r>
          <w:rPr>
            <w:noProof/>
            <w:webHidden/>
          </w:rPr>
          <w:fldChar w:fldCharType="begin"/>
        </w:r>
        <w:r>
          <w:rPr>
            <w:noProof/>
            <w:webHidden/>
          </w:rPr>
          <w:instrText xml:space="preserve"> PAGEREF _Toc477338745 \h </w:instrText>
        </w:r>
        <w:r>
          <w:rPr>
            <w:noProof/>
            <w:webHidden/>
          </w:rPr>
        </w:r>
        <w:r>
          <w:rPr>
            <w:noProof/>
            <w:webHidden/>
          </w:rPr>
          <w:fldChar w:fldCharType="separate"/>
        </w:r>
        <w:r w:rsidR="00780611">
          <w:rPr>
            <w:noProof/>
            <w:webHidden/>
          </w:rPr>
          <w:t>18</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46" w:history="1">
        <w:r w:rsidRPr="004E1A58">
          <w:rPr>
            <w:rStyle w:val="Hyperlink"/>
            <w:rFonts w:eastAsiaTheme="majorEastAsia"/>
            <w:noProof/>
            <w:lang w:val="en-GB"/>
          </w:rPr>
          <w:t>Perceptions of safety</w:t>
        </w:r>
        <w:r>
          <w:rPr>
            <w:noProof/>
            <w:webHidden/>
          </w:rPr>
          <w:tab/>
        </w:r>
        <w:r>
          <w:rPr>
            <w:noProof/>
            <w:webHidden/>
          </w:rPr>
          <w:fldChar w:fldCharType="begin"/>
        </w:r>
        <w:r>
          <w:rPr>
            <w:noProof/>
            <w:webHidden/>
          </w:rPr>
          <w:instrText xml:space="preserve"> PAGEREF _Toc477338746 \h </w:instrText>
        </w:r>
        <w:r>
          <w:rPr>
            <w:noProof/>
            <w:webHidden/>
          </w:rPr>
        </w:r>
        <w:r>
          <w:rPr>
            <w:noProof/>
            <w:webHidden/>
          </w:rPr>
          <w:fldChar w:fldCharType="separate"/>
        </w:r>
        <w:r w:rsidR="00780611">
          <w:rPr>
            <w:noProof/>
            <w:webHidden/>
          </w:rPr>
          <w:t>18</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47" w:history="1">
        <w:r w:rsidRPr="004E1A58">
          <w:rPr>
            <w:rStyle w:val="Hyperlink"/>
            <w:rFonts w:eastAsiaTheme="majorEastAsia"/>
            <w:noProof/>
            <w:lang w:val="en-GB"/>
          </w:rPr>
          <w:t>Racism</w:t>
        </w:r>
        <w:r>
          <w:rPr>
            <w:noProof/>
            <w:webHidden/>
          </w:rPr>
          <w:tab/>
        </w:r>
        <w:r>
          <w:rPr>
            <w:noProof/>
            <w:webHidden/>
          </w:rPr>
          <w:fldChar w:fldCharType="begin"/>
        </w:r>
        <w:r>
          <w:rPr>
            <w:noProof/>
            <w:webHidden/>
          </w:rPr>
          <w:instrText xml:space="preserve"> PAGEREF _Toc477338747 \h </w:instrText>
        </w:r>
        <w:r>
          <w:rPr>
            <w:noProof/>
            <w:webHidden/>
          </w:rPr>
        </w:r>
        <w:r>
          <w:rPr>
            <w:noProof/>
            <w:webHidden/>
          </w:rPr>
          <w:fldChar w:fldCharType="separate"/>
        </w:r>
        <w:r w:rsidR="00780611">
          <w:rPr>
            <w:noProof/>
            <w:webHidden/>
          </w:rPr>
          <w:t>18</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48" w:history="1">
        <w:r w:rsidRPr="004E1A58">
          <w:rPr>
            <w:rStyle w:val="Hyperlink"/>
            <w:rFonts w:eastAsiaTheme="majorEastAsia"/>
            <w:noProof/>
            <w:lang w:val="en-GB"/>
          </w:rPr>
          <w:t>Homelessness</w:t>
        </w:r>
        <w:r>
          <w:rPr>
            <w:noProof/>
            <w:webHidden/>
          </w:rPr>
          <w:tab/>
        </w:r>
        <w:r>
          <w:rPr>
            <w:noProof/>
            <w:webHidden/>
          </w:rPr>
          <w:fldChar w:fldCharType="begin"/>
        </w:r>
        <w:r>
          <w:rPr>
            <w:noProof/>
            <w:webHidden/>
          </w:rPr>
          <w:instrText xml:space="preserve"> PAGEREF _Toc477338748 \h </w:instrText>
        </w:r>
        <w:r>
          <w:rPr>
            <w:noProof/>
            <w:webHidden/>
          </w:rPr>
        </w:r>
        <w:r>
          <w:rPr>
            <w:noProof/>
            <w:webHidden/>
          </w:rPr>
          <w:fldChar w:fldCharType="separate"/>
        </w:r>
        <w:r w:rsidR="00780611">
          <w:rPr>
            <w:noProof/>
            <w:webHidden/>
          </w:rPr>
          <w:t>19</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49" w:history="1">
        <w:r w:rsidRPr="004E1A58">
          <w:rPr>
            <w:rStyle w:val="Hyperlink"/>
            <w:rFonts w:eastAsiaTheme="majorEastAsia"/>
            <w:noProof/>
            <w:lang w:val="en-GB"/>
          </w:rPr>
          <w:t>Education and employment</w:t>
        </w:r>
        <w:r>
          <w:rPr>
            <w:noProof/>
            <w:webHidden/>
          </w:rPr>
          <w:tab/>
        </w:r>
        <w:r>
          <w:rPr>
            <w:noProof/>
            <w:webHidden/>
          </w:rPr>
          <w:fldChar w:fldCharType="begin"/>
        </w:r>
        <w:r>
          <w:rPr>
            <w:noProof/>
            <w:webHidden/>
          </w:rPr>
          <w:instrText xml:space="preserve"> PAGEREF _Toc477338749 \h </w:instrText>
        </w:r>
        <w:r>
          <w:rPr>
            <w:noProof/>
            <w:webHidden/>
          </w:rPr>
        </w:r>
        <w:r>
          <w:rPr>
            <w:noProof/>
            <w:webHidden/>
          </w:rPr>
          <w:fldChar w:fldCharType="separate"/>
        </w:r>
        <w:r w:rsidR="00780611">
          <w:rPr>
            <w:noProof/>
            <w:webHidden/>
          </w:rPr>
          <w:t>19</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50" w:history="1">
        <w:r w:rsidRPr="004E1A58">
          <w:rPr>
            <w:rStyle w:val="Hyperlink"/>
            <w:rFonts w:eastAsiaTheme="majorEastAsia"/>
            <w:noProof/>
            <w:lang w:val="en-GB"/>
          </w:rPr>
          <w:t>Early childhood and Middle years’ development</w:t>
        </w:r>
        <w:r>
          <w:rPr>
            <w:noProof/>
            <w:webHidden/>
          </w:rPr>
          <w:tab/>
        </w:r>
        <w:r>
          <w:rPr>
            <w:noProof/>
            <w:webHidden/>
          </w:rPr>
          <w:fldChar w:fldCharType="begin"/>
        </w:r>
        <w:r>
          <w:rPr>
            <w:noProof/>
            <w:webHidden/>
          </w:rPr>
          <w:instrText xml:space="preserve"> PAGEREF _Toc477338750 \h </w:instrText>
        </w:r>
        <w:r>
          <w:rPr>
            <w:noProof/>
            <w:webHidden/>
          </w:rPr>
        </w:r>
        <w:r>
          <w:rPr>
            <w:noProof/>
            <w:webHidden/>
          </w:rPr>
          <w:fldChar w:fldCharType="separate"/>
        </w:r>
        <w:r w:rsidR="00780611">
          <w:rPr>
            <w:noProof/>
            <w:webHidden/>
          </w:rPr>
          <w:t>19</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51" w:history="1">
        <w:r w:rsidRPr="004E1A58">
          <w:rPr>
            <w:rStyle w:val="Hyperlink"/>
            <w:rFonts w:eastAsiaTheme="majorEastAsia"/>
            <w:noProof/>
            <w:lang w:val="en-GB"/>
          </w:rPr>
          <w:t>Socio-economic status</w:t>
        </w:r>
        <w:r>
          <w:rPr>
            <w:noProof/>
            <w:webHidden/>
          </w:rPr>
          <w:tab/>
        </w:r>
        <w:r>
          <w:rPr>
            <w:noProof/>
            <w:webHidden/>
          </w:rPr>
          <w:fldChar w:fldCharType="begin"/>
        </w:r>
        <w:r>
          <w:rPr>
            <w:noProof/>
            <w:webHidden/>
          </w:rPr>
          <w:instrText xml:space="preserve"> PAGEREF _Toc477338751 \h </w:instrText>
        </w:r>
        <w:r>
          <w:rPr>
            <w:noProof/>
            <w:webHidden/>
          </w:rPr>
        </w:r>
        <w:r>
          <w:rPr>
            <w:noProof/>
            <w:webHidden/>
          </w:rPr>
          <w:fldChar w:fldCharType="separate"/>
        </w:r>
        <w:r w:rsidR="00780611">
          <w:rPr>
            <w:noProof/>
            <w:webHidden/>
          </w:rPr>
          <w:t>21</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52" w:history="1">
        <w:r w:rsidRPr="004E1A58">
          <w:rPr>
            <w:rStyle w:val="Hyperlink"/>
            <w:rFonts w:eastAsiaTheme="majorEastAsia"/>
            <w:noProof/>
            <w:lang w:val="en-GB"/>
          </w:rPr>
          <w:t>Financial vulnerability</w:t>
        </w:r>
        <w:r>
          <w:rPr>
            <w:noProof/>
            <w:webHidden/>
          </w:rPr>
          <w:tab/>
        </w:r>
        <w:r>
          <w:rPr>
            <w:noProof/>
            <w:webHidden/>
          </w:rPr>
          <w:fldChar w:fldCharType="begin"/>
        </w:r>
        <w:r>
          <w:rPr>
            <w:noProof/>
            <w:webHidden/>
          </w:rPr>
          <w:instrText xml:space="preserve"> PAGEREF _Toc477338752 \h </w:instrText>
        </w:r>
        <w:r>
          <w:rPr>
            <w:noProof/>
            <w:webHidden/>
          </w:rPr>
        </w:r>
        <w:r>
          <w:rPr>
            <w:noProof/>
            <w:webHidden/>
          </w:rPr>
          <w:fldChar w:fldCharType="separate"/>
        </w:r>
        <w:r w:rsidR="00780611">
          <w:rPr>
            <w:noProof/>
            <w:webHidden/>
          </w:rPr>
          <w:t>22</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53" w:history="1">
        <w:r w:rsidRPr="004E1A58">
          <w:rPr>
            <w:rStyle w:val="Hyperlink"/>
            <w:rFonts w:eastAsiaTheme="majorEastAsia"/>
            <w:noProof/>
            <w:lang w:val="en-GB"/>
          </w:rPr>
          <w:t>Alcohol and illicit drugs</w:t>
        </w:r>
        <w:r>
          <w:rPr>
            <w:noProof/>
            <w:webHidden/>
          </w:rPr>
          <w:tab/>
        </w:r>
        <w:r>
          <w:rPr>
            <w:noProof/>
            <w:webHidden/>
          </w:rPr>
          <w:fldChar w:fldCharType="begin"/>
        </w:r>
        <w:r>
          <w:rPr>
            <w:noProof/>
            <w:webHidden/>
          </w:rPr>
          <w:instrText xml:space="preserve"> PAGEREF _Toc477338753 \h </w:instrText>
        </w:r>
        <w:r>
          <w:rPr>
            <w:noProof/>
            <w:webHidden/>
          </w:rPr>
        </w:r>
        <w:r>
          <w:rPr>
            <w:noProof/>
            <w:webHidden/>
          </w:rPr>
          <w:fldChar w:fldCharType="separate"/>
        </w:r>
        <w:r w:rsidR="00780611">
          <w:rPr>
            <w:noProof/>
            <w:webHidden/>
          </w:rPr>
          <w:t>22</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54" w:history="1">
        <w:r w:rsidRPr="004E1A58">
          <w:rPr>
            <w:rStyle w:val="Hyperlink"/>
            <w:rFonts w:eastAsiaTheme="majorEastAsia"/>
            <w:noProof/>
            <w:lang w:val="en-GB"/>
          </w:rPr>
          <w:t>Offender profile</w:t>
        </w:r>
        <w:r>
          <w:rPr>
            <w:noProof/>
            <w:webHidden/>
          </w:rPr>
          <w:tab/>
        </w:r>
        <w:r>
          <w:rPr>
            <w:noProof/>
            <w:webHidden/>
          </w:rPr>
          <w:fldChar w:fldCharType="begin"/>
        </w:r>
        <w:r>
          <w:rPr>
            <w:noProof/>
            <w:webHidden/>
          </w:rPr>
          <w:instrText xml:space="preserve"> PAGEREF _Toc477338754 \h </w:instrText>
        </w:r>
        <w:r>
          <w:rPr>
            <w:noProof/>
            <w:webHidden/>
          </w:rPr>
        </w:r>
        <w:r>
          <w:rPr>
            <w:noProof/>
            <w:webHidden/>
          </w:rPr>
          <w:fldChar w:fldCharType="separate"/>
        </w:r>
        <w:r w:rsidR="00780611">
          <w:rPr>
            <w:noProof/>
            <w:webHidden/>
          </w:rPr>
          <w:t>23</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55" w:history="1">
        <w:r w:rsidRPr="004E1A58">
          <w:rPr>
            <w:rStyle w:val="Hyperlink"/>
            <w:rFonts w:eastAsiaTheme="majorEastAsia"/>
            <w:noProof/>
            <w:lang w:val="en-GB"/>
          </w:rPr>
          <w:t>Crime</w:t>
        </w:r>
        <w:r>
          <w:rPr>
            <w:noProof/>
            <w:webHidden/>
          </w:rPr>
          <w:tab/>
        </w:r>
        <w:r>
          <w:rPr>
            <w:noProof/>
            <w:webHidden/>
          </w:rPr>
          <w:fldChar w:fldCharType="begin"/>
        </w:r>
        <w:r>
          <w:rPr>
            <w:noProof/>
            <w:webHidden/>
          </w:rPr>
          <w:instrText xml:space="preserve"> PAGEREF _Toc477338755 \h </w:instrText>
        </w:r>
        <w:r>
          <w:rPr>
            <w:noProof/>
            <w:webHidden/>
          </w:rPr>
        </w:r>
        <w:r>
          <w:rPr>
            <w:noProof/>
            <w:webHidden/>
          </w:rPr>
          <w:fldChar w:fldCharType="separate"/>
        </w:r>
        <w:r w:rsidR="00780611">
          <w:rPr>
            <w:noProof/>
            <w:webHidden/>
          </w:rPr>
          <w:t>24</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56" w:history="1">
        <w:r w:rsidRPr="004E1A58">
          <w:rPr>
            <w:rStyle w:val="Hyperlink"/>
            <w:noProof/>
          </w:rPr>
          <w:t>City of Whittlesea Community Safety and Crime Prevention Strategy 2016-2020</w:t>
        </w:r>
        <w:r>
          <w:rPr>
            <w:noProof/>
            <w:webHidden/>
          </w:rPr>
          <w:tab/>
        </w:r>
        <w:r>
          <w:rPr>
            <w:noProof/>
            <w:webHidden/>
          </w:rPr>
          <w:fldChar w:fldCharType="begin"/>
        </w:r>
        <w:r>
          <w:rPr>
            <w:noProof/>
            <w:webHidden/>
          </w:rPr>
          <w:instrText xml:space="preserve"> PAGEREF _Toc477338756 \h </w:instrText>
        </w:r>
        <w:r>
          <w:rPr>
            <w:noProof/>
            <w:webHidden/>
          </w:rPr>
        </w:r>
        <w:r>
          <w:rPr>
            <w:noProof/>
            <w:webHidden/>
          </w:rPr>
          <w:fldChar w:fldCharType="separate"/>
        </w:r>
        <w:r w:rsidR="00780611">
          <w:rPr>
            <w:noProof/>
            <w:webHidden/>
          </w:rPr>
          <w:t>26</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57" w:history="1">
        <w:r w:rsidRPr="004E1A58">
          <w:rPr>
            <w:rStyle w:val="Hyperlink"/>
            <w:noProof/>
          </w:rPr>
          <w:t>Goal 1: The built environment is safe, welcoming and promotes community connection</w:t>
        </w:r>
        <w:r>
          <w:rPr>
            <w:noProof/>
            <w:webHidden/>
          </w:rPr>
          <w:tab/>
        </w:r>
        <w:r>
          <w:rPr>
            <w:noProof/>
            <w:webHidden/>
          </w:rPr>
          <w:fldChar w:fldCharType="begin"/>
        </w:r>
        <w:r>
          <w:rPr>
            <w:noProof/>
            <w:webHidden/>
          </w:rPr>
          <w:instrText xml:space="preserve"> PAGEREF _Toc477338757 \h </w:instrText>
        </w:r>
        <w:r>
          <w:rPr>
            <w:noProof/>
            <w:webHidden/>
          </w:rPr>
        </w:r>
        <w:r>
          <w:rPr>
            <w:noProof/>
            <w:webHidden/>
          </w:rPr>
          <w:fldChar w:fldCharType="separate"/>
        </w:r>
        <w:r w:rsidR="00780611">
          <w:rPr>
            <w:noProof/>
            <w:webHidden/>
          </w:rPr>
          <w:t>26</w:t>
        </w:r>
        <w:r>
          <w:rPr>
            <w:noProof/>
            <w:webHidden/>
          </w:rPr>
          <w:fldChar w:fldCharType="end"/>
        </w:r>
      </w:hyperlink>
    </w:p>
    <w:p w:rsidR="00AF4DE9" w:rsidRDefault="00AF4DE9">
      <w:pPr>
        <w:pStyle w:val="TOC4"/>
        <w:tabs>
          <w:tab w:val="right" w:leader="dot" w:pos="8302"/>
        </w:tabs>
        <w:rPr>
          <w:rFonts w:asciiTheme="minorHAnsi" w:eastAsiaTheme="minorEastAsia" w:hAnsiTheme="minorHAnsi" w:cstheme="minorBidi"/>
          <w:noProof/>
          <w:sz w:val="22"/>
          <w:szCs w:val="22"/>
        </w:rPr>
      </w:pPr>
      <w:hyperlink w:anchor="_Toc477338758" w:history="1">
        <w:r w:rsidRPr="004E1A58">
          <w:rPr>
            <w:rStyle w:val="Hyperlink"/>
            <w:noProof/>
          </w:rPr>
          <w:t>Theme: Safety in the built environment, parks and public space</w:t>
        </w:r>
        <w:r>
          <w:rPr>
            <w:noProof/>
            <w:webHidden/>
          </w:rPr>
          <w:tab/>
        </w:r>
        <w:r>
          <w:rPr>
            <w:noProof/>
            <w:webHidden/>
          </w:rPr>
          <w:fldChar w:fldCharType="begin"/>
        </w:r>
        <w:r>
          <w:rPr>
            <w:noProof/>
            <w:webHidden/>
          </w:rPr>
          <w:instrText xml:space="preserve"> PAGEREF _Toc477338758 \h </w:instrText>
        </w:r>
        <w:r>
          <w:rPr>
            <w:noProof/>
            <w:webHidden/>
          </w:rPr>
        </w:r>
        <w:r>
          <w:rPr>
            <w:noProof/>
            <w:webHidden/>
          </w:rPr>
          <w:fldChar w:fldCharType="separate"/>
        </w:r>
        <w:r w:rsidR="00780611">
          <w:rPr>
            <w:noProof/>
            <w:webHidden/>
          </w:rPr>
          <w:t>26</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59" w:history="1">
        <w:r w:rsidRPr="004E1A58">
          <w:rPr>
            <w:rStyle w:val="Hyperlink"/>
            <w:noProof/>
          </w:rPr>
          <w:t>Goal 2: Crime against public and private property is minimised</w:t>
        </w:r>
        <w:r>
          <w:rPr>
            <w:noProof/>
            <w:webHidden/>
          </w:rPr>
          <w:tab/>
        </w:r>
        <w:r>
          <w:rPr>
            <w:noProof/>
            <w:webHidden/>
          </w:rPr>
          <w:fldChar w:fldCharType="begin"/>
        </w:r>
        <w:r>
          <w:rPr>
            <w:noProof/>
            <w:webHidden/>
          </w:rPr>
          <w:instrText xml:space="preserve"> PAGEREF _Toc477338759 \h </w:instrText>
        </w:r>
        <w:r>
          <w:rPr>
            <w:noProof/>
            <w:webHidden/>
          </w:rPr>
        </w:r>
        <w:r>
          <w:rPr>
            <w:noProof/>
            <w:webHidden/>
          </w:rPr>
          <w:fldChar w:fldCharType="separate"/>
        </w:r>
        <w:r w:rsidR="00780611">
          <w:rPr>
            <w:noProof/>
            <w:webHidden/>
          </w:rPr>
          <w:t>26</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60" w:history="1">
        <w:r w:rsidRPr="004E1A58">
          <w:rPr>
            <w:rStyle w:val="Hyperlink"/>
            <w:noProof/>
          </w:rPr>
          <w:t>Theme: Property crime and theft</w:t>
        </w:r>
        <w:r>
          <w:rPr>
            <w:noProof/>
            <w:webHidden/>
          </w:rPr>
          <w:tab/>
        </w:r>
        <w:r>
          <w:rPr>
            <w:noProof/>
            <w:webHidden/>
          </w:rPr>
          <w:fldChar w:fldCharType="begin"/>
        </w:r>
        <w:r>
          <w:rPr>
            <w:noProof/>
            <w:webHidden/>
          </w:rPr>
          <w:instrText xml:space="preserve"> PAGEREF _Toc477338760 \h </w:instrText>
        </w:r>
        <w:r>
          <w:rPr>
            <w:noProof/>
            <w:webHidden/>
          </w:rPr>
        </w:r>
        <w:r>
          <w:rPr>
            <w:noProof/>
            <w:webHidden/>
          </w:rPr>
          <w:fldChar w:fldCharType="separate"/>
        </w:r>
        <w:r w:rsidR="00780611">
          <w:rPr>
            <w:noProof/>
            <w:webHidden/>
          </w:rPr>
          <w:t>26</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61" w:history="1">
        <w:r w:rsidRPr="004E1A58">
          <w:rPr>
            <w:rStyle w:val="Hyperlink"/>
            <w:noProof/>
          </w:rPr>
          <w:t>Goal 3: Young people have education pathways and meaningful employment opportunities</w:t>
        </w:r>
        <w:r>
          <w:rPr>
            <w:noProof/>
            <w:webHidden/>
          </w:rPr>
          <w:tab/>
        </w:r>
        <w:r>
          <w:rPr>
            <w:noProof/>
            <w:webHidden/>
          </w:rPr>
          <w:fldChar w:fldCharType="begin"/>
        </w:r>
        <w:r>
          <w:rPr>
            <w:noProof/>
            <w:webHidden/>
          </w:rPr>
          <w:instrText xml:space="preserve"> PAGEREF _Toc477338761 \h </w:instrText>
        </w:r>
        <w:r>
          <w:rPr>
            <w:noProof/>
            <w:webHidden/>
          </w:rPr>
        </w:r>
        <w:r>
          <w:rPr>
            <w:noProof/>
            <w:webHidden/>
          </w:rPr>
          <w:fldChar w:fldCharType="separate"/>
        </w:r>
        <w:r w:rsidR="00780611">
          <w:rPr>
            <w:noProof/>
            <w:webHidden/>
          </w:rPr>
          <w:t>27</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62" w:history="1">
        <w:r w:rsidRPr="004E1A58">
          <w:rPr>
            <w:rStyle w:val="Hyperlink"/>
            <w:noProof/>
          </w:rPr>
          <w:t>Theme: Young people disengaged from education and employment</w:t>
        </w:r>
        <w:r>
          <w:rPr>
            <w:noProof/>
            <w:webHidden/>
          </w:rPr>
          <w:tab/>
        </w:r>
        <w:r>
          <w:rPr>
            <w:noProof/>
            <w:webHidden/>
          </w:rPr>
          <w:fldChar w:fldCharType="begin"/>
        </w:r>
        <w:r>
          <w:rPr>
            <w:noProof/>
            <w:webHidden/>
          </w:rPr>
          <w:instrText xml:space="preserve"> PAGEREF _Toc477338762 \h </w:instrText>
        </w:r>
        <w:r>
          <w:rPr>
            <w:noProof/>
            <w:webHidden/>
          </w:rPr>
        </w:r>
        <w:r>
          <w:rPr>
            <w:noProof/>
            <w:webHidden/>
          </w:rPr>
          <w:fldChar w:fldCharType="separate"/>
        </w:r>
        <w:r w:rsidR="00780611">
          <w:rPr>
            <w:noProof/>
            <w:webHidden/>
          </w:rPr>
          <w:t>27</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63" w:history="1">
        <w:r w:rsidRPr="004E1A58">
          <w:rPr>
            <w:rStyle w:val="Hyperlink"/>
            <w:noProof/>
          </w:rPr>
          <w:t>Goal 4: Dangerous driving is minimised</w:t>
        </w:r>
        <w:r>
          <w:rPr>
            <w:noProof/>
            <w:webHidden/>
          </w:rPr>
          <w:tab/>
        </w:r>
        <w:r>
          <w:rPr>
            <w:noProof/>
            <w:webHidden/>
          </w:rPr>
          <w:fldChar w:fldCharType="begin"/>
        </w:r>
        <w:r>
          <w:rPr>
            <w:noProof/>
            <w:webHidden/>
          </w:rPr>
          <w:instrText xml:space="preserve"> PAGEREF _Toc477338763 \h </w:instrText>
        </w:r>
        <w:r>
          <w:rPr>
            <w:noProof/>
            <w:webHidden/>
          </w:rPr>
        </w:r>
        <w:r>
          <w:rPr>
            <w:noProof/>
            <w:webHidden/>
          </w:rPr>
          <w:fldChar w:fldCharType="separate"/>
        </w:r>
        <w:r w:rsidR="00780611">
          <w:rPr>
            <w:noProof/>
            <w:webHidden/>
          </w:rPr>
          <w:t>27</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64" w:history="1">
        <w:r w:rsidRPr="004E1A58">
          <w:rPr>
            <w:rStyle w:val="Hyperlink"/>
            <w:noProof/>
          </w:rPr>
          <w:t>Theme: Unsafe driving</w:t>
        </w:r>
        <w:r>
          <w:rPr>
            <w:noProof/>
            <w:webHidden/>
          </w:rPr>
          <w:tab/>
        </w:r>
        <w:r>
          <w:rPr>
            <w:noProof/>
            <w:webHidden/>
          </w:rPr>
          <w:fldChar w:fldCharType="begin"/>
        </w:r>
        <w:r>
          <w:rPr>
            <w:noProof/>
            <w:webHidden/>
          </w:rPr>
          <w:instrText xml:space="preserve"> PAGEREF _Toc477338764 \h </w:instrText>
        </w:r>
        <w:r>
          <w:rPr>
            <w:noProof/>
            <w:webHidden/>
          </w:rPr>
        </w:r>
        <w:r>
          <w:rPr>
            <w:noProof/>
            <w:webHidden/>
          </w:rPr>
          <w:fldChar w:fldCharType="separate"/>
        </w:r>
        <w:r w:rsidR="00780611">
          <w:rPr>
            <w:noProof/>
            <w:webHidden/>
          </w:rPr>
          <w:t>27</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65" w:history="1">
        <w:r w:rsidRPr="004E1A58">
          <w:rPr>
            <w:rStyle w:val="Hyperlink"/>
            <w:noProof/>
          </w:rPr>
          <w:t>Goal 5: Harms and negative impacts of financial vulnerability on community safety are minimised</w:t>
        </w:r>
        <w:r>
          <w:rPr>
            <w:noProof/>
            <w:webHidden/>
          </w:rPr>
          <w:tab/>
        </w:r>
        <w:r>
          <w:rPr>
            <w:noProof/>
            <w:webHidden/>
          </w:rPr>
          <w:fldChar w:fldCharType="begin"/>
        </w:r>
        <w:r>
          <w:rPr>
            <w:noProof/>
            <w:webHidden/>
          </w:rPr>
          <w:instrText xml:space="preserve"> PAGEREF _Toc477338765 \h </w:instrText>
        </w:r>
        <w:r>
          <w:rPr>
            <w:noProof/>
            <w:webHidden/>
          </w:rPr>
        </w:r>
        <w:r>
          <w:rPr>
            <w:noProof/>
            <w:webHidden/>
          </w:rPr>
          <w:fldChar w:fldCharType="separate"/>
        </w:r>
        <w:r w:rsidR="00780611">
          <w:rPr>
            <w:noProof/>
            <w:webHidden/>
          </w:rPr>
          <w:t>27</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66" w:history="1">
        <w:r w:rsidRPr="004E1A58">
          <w:rPr>
            <w:rStyle w:val="Hyperlink"/>
            <w:noProof/>
          </w:rPr>
          <w:t>Theme: Financial vulnerability and debt</w:t>
        </w:r>
        <w:r>
          <w:rPr>
            <w:noProof/>
            <w:webHidden/>
          </w:rPr>
          <w:tab/>
        </w:r>
        <w:r>
          <w:rPr>
            <w:noProof/>
            <w:webHidden/>
          </w:rPr>
          <w:fldChar w:fldCharType="begin"/>
        </w:r>
        <w:r>
          <w:rPr>
            <w:noProof/>
            <w:webHidden/>
          </w:rPr>
          <w:instrText xml:space="preserve"> PAGEREF _Toc477338766 \h </w:instrText>
        </w:r>
        <w:r>
          <w:rPr>
            <w:noProof/>
            <w:webHidden/>
          </w:rPr>
        </w:r>
        <w:r>
          <w:rPr>
            <w:noProof/>
            <w:webHidden/>
          </w:rPr>
          <w:fldChar w:fldCharType="separate"/>
        </w:r>
        <w:r w:rsidR="00780611">
          <w:rPr>
            <w:noProof/>
            <w:webHidden/>
          </w:rPr>
          <w:t>27</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67" w:history="1">
        <w:r w:rsidRPr="004E1A58">
          <w:rPr>
            <w:rStyle w:val="Hyperlink"/>
            <w:noProof/>
          </w:rPr>
          <w:t>Goal 6: Harms from alcohol are minimised</w:t>
        </w:r>
        <w:r>
          <w:rPr>
            <w:noProof/>
            <w:webHidden/>
          </w:rPr>
          <w:tab/>
        </w:r>
        <w:r>
          <w:rPr>
            <w:noProof/>
            <w:webHidden/>
          </w:rPr>
          <w:fldChar w:fldCharType="begin"/>
        </w:r>
        <w:r>
          <w:rPr>
            <w:noProof/>
            <w:webHidden/>
          </w:rPr>
          <w:instrText xml:space="preserve"> PAGEREF _Toc477338767 \h </w:instrText>
        </w:r>
        <w:r>
          <w:rPr>
            <w:noProof/>
            <w:webHidden/>
          </w:rPr>
        </w:r>
        <w:r>
          <w:rPr>
            <w:noProof/>
            <w:webHidden/>
          </w:rPr>
          <w:fldChar w:fldCharType="separate"/>
        </w:r>
        <w:r w:rsidR="00780611">
          <w:rPr>
            <w:noProof/>
            <w:webHidden/>
          </w:rPr>
          <w:t>28</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68" w:history="1">
        <w:r w:rsidRPr="004E1A58">
          <w:rPr>
            <w:rStyle w:val="Hyperlink"/>
            <w:noProof/>
          </w:rPr>
          <w:t>Theme: Alcohol</w:t>
        </w:r>
        <w:r>
          <w:rPr>
            <w:noProof/>
            <w:webHidden/>
          </w:rPr>
          <w:tab/>
        </w:r>
        <w:r>
          <w:rPr>
            <w:noProof/>
            <w:webHidden/>
          </w:rPr>
          <w:fldChar w:fldCharType="begin"/>
        </w:r>
        <w:r>
          <w:rPr>
            <w:noProof/>
            <w:webHidden/>
          </w:rPr>
          <w:instrText xml:space="preserve"> PAGEREF _Toc477338768 \h </w:instrText>
        </w:r>
        <w:r>
          <w:rPr>
            <w:noProof/>
            <w:webHidden/>
          </w:rPr>
        </w:r>
        <w:r>
          <w:rPr>
            <w:noProof/>
            <w:webHidden/>
          </w:rPr>
          <w:fldChar w:fldCharType="separate"/>
        </w:r>
        <w:r w:rsidR="00780611">
          <w:rPr>
            <w:noProof/>
            <w:webHidden/>
          </w:rPr>
          <w:t>28</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69" w:history="1">
        <w:r w:rsidRPr="004E1A58">
          <w:rPr>
            <w:rStyle w:val="Hyperlink"/>
            <w:noProof/>
          </w:rPr>
          <w:t>Goal 7: Harms from illicit drugs are minimised</w:t>
        </w:r>
        <w:r>
          <w:rPr>
            <w:noProof/>
            <w:webHidden/>
          </w:rPr>
          <w:tab/>
        </w:r>
        <w:r>
          <w:rPr>
            <w:noProof/>
            <w:webHidden/>
          </w:rPr>
          <w:fldChar w:fldCharType="begin"/>
        </w:r>
        <w:r>
          <w:rPr>
            <w:noProof/>
            <w:webHidden/>
          </w:rPr>
          <w:instrText xml:space="preserve"> PAGEREF _Toc477338769 \h </w:instrText>
        </w:r>
        <w:r>
          <w:rPr>
            <w:noProof/>
            <w:webHidden/>
          </w:rPr>
        </w:r>
        <w:r>
          <w:rPr>
            <w:noProof/>
            <w:webHidden/>
          </w:rPr>
          <w:fldChar w:fldCharType="separate"/>
        </w:r>
        <w:r w:rsidR="00780611">
          <w:rPr>
            <w:noProof/>
            <w:webHidden/>
          </w:rPr>
          <w:t>28</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70" w:history="1">
        <w:r w:rsidRPr="004E1A58">
          <w:rPr>
            <w:rStyle w:val="Hyperlink"/>
            <w:noProof/>
          </w:rPr>
          <w:t>Theme: Illicit drugs</w:t>
        </w:r>
        <w:r>
          <w:rPr>
            <w:noProof/>
            <w:webHidden/>
          </w:rPr>
          <w:tab/>
        </w:r>
        <w:r>
          <w:rPr>
            <w:noProof/>
            <w:webHidden/>
          </w:rPr>
          <w:fldChar w:fldCharType="begin"/>
        </w:r>
        <w:r>
          <w:rPr>
            <w:noProof/>
            <w:webHidden/>
          </w:rPr>
          <w:instrText xml:space="preserve"> PAGEREF _Toc477338770 \h </w:instrText>
        </w:r>
        <w:r>
          <w:rPr>
            <w:noProof/>
            <w:webHidden/>
          </w:rPr>
        </w:r>
        <w:r>
          <w:rPr>
            <w:noProof/>
            <w:webHidden/>
          </w:rPr>
          <w:fldChar w:fldCharType="separate"/>
        </w:r>
        <w:r w:rsidR="00780611">
          <w:rPr>
            <w:noProof/>
            <w:webHidden/>
          </w:rPr>
          <w:t>28</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71" w:history="1">
        <w:r w:rsidRPr="004E1A58">
          <w:rPr>
            <w:rStyle w:val="Hyperlink"/>
            <w:noProof/>
          </w:rPr>
          <w:t>Goal 8: Women and children live free from family violence</w:t>
        </w:r>
        <w:r>
          <w:rPr>
            <w:noProof/>
            <w:webHidden/>
          </w:rPr>
          <w:tab/>
        </w:r>
        <w:r>
          <w:rPr>
            <w:noProof/>
            <w:webHidden/>
          </w:rPr>
          <w:fldChar w:fldCharType="begin"/>
        </w:r>
        <w:r>
          <w:rPr>
            <w:noProof/>
            <w:webHidden/>
          </w:rPr>
          <w:instrText xml:space="preserve"> PAGEREF _Toc477338771 \h </w:instrText>
        </w:r>
        <w:r>
          <w:rPr>
            <w:noProof/>
            <w:webHidden/>
          </w:rPr>
        </w:r>
        <w:r>
          <w:rPr>
            <w:noProof/>
            <w:webHidden/>
          </w:rPr>
          <w:fldChar w:fldCharType="separate"/>
        </w:r>
        <w:r w:rsidR="00780611">
          <w:rPr>
            <w:noProof/>
            <w:webHidden/>
          </w:rPr>
          <w:t>28</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72" w:history="1">
        <w:r w:rsidRPr="004E1A58">
          <w:rPr>
            <w:rStyle w:val="Hyperlink"/>
            <w:noProof/>
          </w:rPr>
          <w:t>Theme: Family violence</w:t>
        </w:r>
        <w:r>
          <w:rPr>
            <w:noProof/>
            <w:webHidden/>
          </w:rPr>
          <w:tab/>
        </w:r>
        <w:r>
          <w:rPr>
            <w:noProof/>
            <w:webHidden/>
          </w:rPr>
          <w:fldChar w:fldCharType="begin"/>
        </w:r>
        <w:r>
          <w:rPr>
            <w:noProof/>
            <w:webHidden/>
          </w:rPr>
          <w:instrText xml:space="preserve"> PAGEREF _Toc477338772 \h </w:instrText>
        </w:r>
        <w:r>
          <w:rPr>
            <w:noProof/>
            <w:webHidden/>
          </w:rPr>
        </w:r>
        <w:r>
          <w:rPr>
            <w:noProof/>
            <w:webHidden/>
          </w:rPr>
          <w:fldChar w:fldCharType="separate"/>
        </w:r>
        <w:r w:rsidR="00780611">
          <w:rPr>
            <w:noProof/>
            <w:webHidden/>
          </w:rPr>
          <w:t>28</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73" w:history="1">
        <w:r w:rsidRPr="004E1A58">
          <w:rPr>
            <w:rStyle w:val="Hyperlink"/>
            <w:noProof/>
          </w:rPr>
          <w:t>Goal 9: Employment programs are provided for key population groups</w:t>
        </w:r>
        <w:r>
          <w:rPr>
            <w:noProof/>
            <w:webHidden/>
          </w:rPr>
          <w:tab/>
        </w:r>
        <w:r>
          <w:rPr>
            <w:noProof/>
            <w:webHidden/>
          </w:rPr>
          <w:fldChar w:fldCharType="begin"/>
        </w:r>
        <w:r>
          <w:rPr>
            <w:noProof/>
            <w:webHidden/>
          </w:rPr>
          <w:instrText xml:space="preserve"> PAGEREF _Toc477338773 \h </w:instrText>
        </w:r>
        <w:r>
          <w:rPr>
            <w:noProof/>
            <w:webHidden/>
          </w:rPr>
        </w:r>
        <w:r>
          <w:rPr>
            <w:noProof/>
            <w:webHidden/>
          </w:rPr>
          <w:fldChar w:fldCharType="separate"/>
        </w:r>
        <w:r w:rsidR="00780611">
          <w:rPr>
            <w:noProof/>
            <w:webHidden/>
          </w:rPr>
          <w:t>29</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74" w:history="1">
        <w:r w:rsidRPr="004E1A58">
          <w:rPr>
            <w:rStyle w:val="Hyperlink"/>
            <w:noProof/>
          </w:rPr>
          <w:t>Theme: Education and employment</w:t>
        </w:r>
        <w:r>
          <w:rPr>
            <w:noProof/>
            <w:webHidden/>
          </w:rPr>
          <w:tab/>
        </w:r>
        <w:r>
          <w:rPr>
            <w:noProof/>
            <w:webHidden/>
          </w:rPr>
          <w:fldChar w:fldCharType="begin"/>
        </w:r>
        <w:r>
          <w:rPr>
            <w:noProof/>
            <w:webHidden/>
          </w:rPr>
          <w:instrText xml:space="preserve"> PAGEREF _Toc477338774 \h </w:instrText>
        </w:r>
        <w:r>
          <w:rPr>
            <w:noProof/>
            <w:webHidden/>
          </w:rPr>
        </w:r>
        <w:r>
          <w:rPr>
            <w:noProof/>
            <w:webHidden/>
          </w:rPr>
          <w:fldChar w:fldCharType="separate"/>
        </w:r>
        <w:r w:rsidR="00780611">
          <w:rPr>
            <w:noProof/>
            <w:webHidden/>
          </w:rPr>
          <w:t>29</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75" w:history="1">
        <w:r w:rsidRPr="004E1A58">
          <w:rPr>
            <w:rStyle w:val="Hyperlink"/>
            <w:noProof/>
          </w:rPr>
          <w:t>Goal 10: Negative community safety impacts from electronic and online crime are minimised</w:t>
        </w:r>
        <w:r>
          <w:rPr>
            <w:noProof/>
            <w:webHidden/>
          </w:rPr>
          <w:tab/>
        </w:r>
        <w:r>
          <w:rPr>
            <w:noProof/>
            <w:webHidden/>
          </w:rPr>
          <w:fldChar w:fldCharType="begin"/>
        </w:r>
        <w:r>
          <w:rPr>
            <w:noProof/>
            <w:webHidden/>
          </w:rPr>
          <w:instrText xml:space="preserve"> PAGEREF _Toc477338775 \h </w:instrText>
        </w:r>
        <w:r>
          <w:rPr>
            <w:noProof/>
            <w:webHidden/>
          </w:rPr>
        </w:r>
        <w:r>
          <w:rPr>
            <w:noProof/>
            <w:webHidden/>
          </w:rPr>
          <w:fldChar w:fldCharType="separate"/>
        </w:r>
        <w:r w:rsidR="00780611">
          <w:rPr>
            <w:noProof/>
            <w:webHidden/>
          </w:rPr>
          <w:t>29</w:t>
        </w:r>
        <w:r>
          <w:rPr>
            <w:noProof/>
            <w:webHidden/>
          </w:rPr>
          <w:fldChar w:fldCharType="end"/>
        </w:r>
      </w:hyperlink>
    </w:p>
    <w:p w:rsidR="00AF4DE9" w:rsidRDefault="00AF4DE9">
      <w:pPr>
        <w:pStyle w:val="TOC3"/>
        <w:tabs>
          <w:tab w:val="right" w:leader="dot" w:pos="8302"/>
        </w:tabs>
        <w:rPr>
          <w:rFonts w:asciiTheme="minorHAnsi" w:eastAsiaTheme="minorEastAsia" w:hAnsiTheme="minorHAnsi" w:cstheme="minorBidi"/>
          <w:noProof/>
          <w:sz w:val="22"/>
          <w:szCs w:val="22"/>
        </w:rPr>
      </w:pPr>
      <w:hyperlink w:anchor="_Toc477338776" w:history="1">
        <w:r w:rsidRPr="004E1A58">
          <w:rPr>
            <w:rStyle w:val="Hyperlink"/>
            <w:noProof/>
          </w:rPr>
          <w:t>Theme: Electronic crime and online safety for children</w:t>
        </w:r>
        <w:r>
          <w:rPr>
            <w:noProof/>
            <w:webHidden/>
          </w:rPr>
          <w:tab/>
        </w:r>
        <w:r>
          <w:rPr>
            <w:noProof/>
            <w:webHidden/>
          </w:rPr>
          <w:fldChar w:fldCharType="begin"/>
        </w:r>
        <w:r>
          <w:rPr>
            <w:noProof/>
            <w:webHidden/>
          </w:rPr>
          <w:instrText xml:space="preserve"> PAGEREF _Toc477338776 \h </w:instrText>
        </w:r>
        <w:r>
          <w:rPr>
            <w:noProof/>
            <w:webHidden/>
          </w:rPr>
        </w:r>
        <w:r>
          <w:rPr>
            <w:noProof/>
            <w:webHidden/>
          </w:rPr>
          <w:fldChar w:fldCharType="separate"/>
        </w:r>
        <w:r w:rsidR="00780611">
          <w:rPr>
            <w:noProof/>
            <w:webHidden/>
          </w:rPr>
          <w:t>29</w:t>
        </w:r>
        <w:r>
          <w:rPr>
            <w:noProof/>
            <w:webHidden/>
          </w:rPr>
          <w:fldChar w:fldCharType="end"/>
        </w:r>
      </w:hyperlink>
    </w:p>
    <w:p w:rsidR="00AF4DE9" w:rsidRDefault="00AF4DE9">
      <w:pPr>
        <w:pStyle w:val="TOC2"/>
        <w:tabs>
          <w:tab w:val="right" w:leader="dot" w:pos="8302"/>
        </w:tabs>
        <w:rPr>
          <w:rFonts w:asciiTheme="minorHAnsi" w:eastAsiaTheme="minorEastAsia" w:hAnsiTheme="minorHAnsi" w:cstheme="minorBidi"/>
          <w:noProof/>
          <w:sz w:val="22"/>
          <w:szCs w:val="22"/>
        </w:rPr>
      </w:pPr>
      <w:hyperlink w:anchor="_Toc477338777" w:history="1">
        <w:r w:rsidRPr="004E1A58">
          <w:rPr>
            <w:rStyle w:val="Hyperlink"/>
            <w:noProof/>
          </w:rPr>
          <w:t>References</w:t>
        </w:r>
        <w:r>
          <w:rPr>
            <w:noProof/>
            <w:webHidden/>
          </w:rPr>
          <w:tab/>
        </w:r>
        <w:r>
          <w:rPr>
            <w:noProof/>
            <w:webHidden/>
          </w:rPr>
          <w:fldChar w:fldCharType="begin"/>
        </w:r>
        <w:r>
          <w:rPr>
            <w:noProof/>
            <w:webHidden/>
          </w:rPr>
          <w:instrText xml:space="preserve"> PAGEREF _Toc477338777 \h </w:instrText>
        </w:r>
        <w:r>
          <w:rPr>
            <w:noProof/>
            <w:webHidden/>
          </w:rPr>
        </w:r>
        <w:r>
          <w:rPr>
            <w:noProof/>
            <w:webHidden/>
          </w:rPr>
          <w:fldChar w:fldCharType="separate"/>
        </w:r>
        <w:r w:rsidR="00780611">
          <w:rPr>
            <w:noProof/>
            <w:webHidden/>
          </w:rPr>
          <w:t>30</w:t>
        </w:r>
        <w:r>
          <w:rPr>
            <w:noProof/>
            <w:webHidden/>
          </w:rPr>
          <w:fldChar w:fldCharType="end"/>
        </w:r>
      </w:hyperlink>
    </w:p>
    <w:p w:rsidR="003A5D30" w:rsidRDefault="003A5D30" w:rsidP="004C50DB">
      <w:pPr>
        <w:jc w:val="both"/>
      </w:pPr>
      <w:r>
        <w:rPr>
          <w:color w:val="000000" w:themeColor="text1"/>
          <w:sz w:val="28"/>
        </w:rPr>
        <w:fldChar w:fldCharType="end"/>
      </w:r>
    </w:p>
    <w:p w:rsidR="003A5D30" w:rsidRPr="003E504E" w:rsidRDefault="003A5D30" w:rsidP="004C50DB">
      <w:pPr>
        <w:jc w:val="both"/>
        <w:rPr>
          <w:rFonts w:eastAsiaTheme="majorEastAsia"/>
        </w:rPr>
      </w:pPr>
      <w:r w:rsidRPr="009E3409">
        <w:rPr>
          <w:rFonts w:eastAsiaTheme="majorEastAsia"/>
        </w:rPr>
        <w:br w:type="page"/>
      </w:r>
    </w:p>
    <w:p w:rsidR="00362058" w:rsidRDefault="00362058" w:rsidP="00D87898">
      <w:pPr>
        <w:pStyle w:val="Heading2"/>
      </w:pPr>
      <w:bookmarkStart w:id="4" w:name="_Toc477338725"/>
      <w:r>
        <w:t>Executive summary</w:t>
      </w:r>
      <w:bookmarkEnd w:id="4"/>
    </w:p>
    <w:p w:rsidR="00CA709D" w:rsidRPr="00CA709D" w:rsidRDefault="00CA709D" w:rsidP="0084168E">
      <w:pPr>
        <w:jc w:val="both"/>
      </w:pPr>
      <w:r w:rsidRPr="00CA709D">
        <w:t>Action to address crime and community safety has strong synergies with community building, good health and wellbeing and improved access to employment, education and training.  When individuals feel safe within their community, they are more likely to experience greater levels of social connection and trust, and are more likely to become engaged with other members of the community.</w:t>
      </w:r>
      <w:r w:rsidR="004A1635">
        <w:t xml:space="preserve"> </w:t>
      </w:r>
      <w:r w:rsidR="004A1635" w:rsidRPr="004A1635">
        <w:t xml:space="preserve"> </w:t>
      </w:r>
      <w:r w:rsidR="004A1635" w:rsidRPr="00CA709D">
        <w:t>Perceptions of neighbourhood safety are linked with health outcomes.</w:t>
      </w:r>
    </w:p>
    <w:p w:rsidR="00CA709D" w:rsidRDefault="00CA709D" w:rsidP="0084168E">
      <w:pPr>
        <w:jc w:val="both"/>
      </w:pPr>
    </w:p>
    <w:p w:rsidR="004A1635" w:rsidRDefault="004A1635" w:rsidP="0084168E">
      <w:pPr>
        <w:jc w:val="both"/>
      </w:pPr>
      <w:r>
        <w:t xml:space="preserve">This Strategy was developed in partnership with the Community Safety and Crime Prevention Committee and seeks to outline </w:t>
      </w:r>
      <w:r w:rsidR="00193402">
        <w:t xml:space="preserve">the </w:t>
      </w:r>
      <w:r>
        <w:t xml:space="preserve">City of Whittlesea’s commitment to improve community safety and </w:t>
      </w:r>
      <w:r w:rsidR="001960DC">
        <w:t>minimise</w:t>
      </w:r>
      <w:r>
        <w:t xml:space="preserve"> crime in partnership with local police and agencies.</w:t>
      </w:r>
      <w:r w:rsidR="00193402" w:rsidRPr="00193402">
        <w:t xml:space="preserve"> </w:t>
      </w:r>
      <w:r w:rsidR="00193402">
        <w:t>The Strategy seeks to prioritise s</w:t>
      </w:r>
      <w:r w:rsidR="00193402" w:rsidRPr="0084168E">
        <w:t>ocial crime prevention approaches</w:t>
      </w:r>
      <w:r w:rsidR="00193402">
        <w:t xml:space="preserve"> - </w:t>
      </w:r>
      <w:r w:rsidR="00193402" w:rsidRPr="0084168E">
        <w:t xml:space="preserve">approaches </w:t>
      </w:r>
      <w:r w:rsidR="00193402">
        <w:t xml:space="preserve">that </w:t>
      </w:r>
      <w:r w:rsidR="00193402" w:rsidRPr="0084168E">
        <w:t xml:space="preserve">support action to address socio-economic factors such as disengagement with education and unemployment which are correlated with incidence of crime.  </w:t>
      </w:r>
    </w:p>
    <w:p w:rsidR="00E850C4" w:rsidRDefault="004A1635" w:rsidP="0084168E">
      <w:pPr>
        <w:jc w:val="both"/>
      </w:pPr>
      <w:r>
        <w:t xml:space="preserve">There are ten </w:t>
      </w:r>
      <w:r w:rsidR="00E850C4">
        <w:t>goals</w:t>
      </w:r>
      <w:r>
        <w:t xml:space="preserve"> outlined </w:t>
      </w:r>
      <w:r w:rsidR="00193402">
        <w:t xml:space="preserve">in the Strategy </w:t>
      </w:r>
      <w:r>
        <w:t xml:space="preserve">which will guide the work of </w:t>
      </w:r>
      <w:r w:rsidR="00E850C4">
        <w:t xml:space="preserve">the </w:t>
      </w:r>
      <w:r w:rsidR="001960DC">
        <w:t>City of Whittlesea</w:t>
      </w:r>
      <w:r>
        <w:t xml:space="preserve"> and the Community Safety and Crime Prevention Committee for the next four years.  </w:t>
      </w:r>
    </w:p>
    <w:p w:rsidR="00E850C4" w:rsidRDefault="00193402" w:rsidP="0084168E">
      <w:pPr>
        <w:jc w:val="both"/>
      </w:pPr>
      <w:r>
        <w:t>Goals:</w:t>
      </w:r>
    </w:p>
    <w:p w:rsidR="00E850C4" w:rsidRPr="00193402" w:rsidRDefault="00E850C4" w:rsidP="00737DAA">
      <w:pPr>
        <w:pStyle w:val="ListParagraph"/>
        <w:numPr>
          <w:ilvl w:val="0"/>
          <w:numId w:val="5"/>
        </w:numPr>
        <w:jc w:val="both"/>
        <w:rPr>
          <w:b w:val="0"/>
        </w:rPr>
      </w:pPr>
      <w:r w:rsidRPr="00193402">
        <w:rPr>
          <w:b w:val="0"/>
        </w:rPr>
        <w:t>The built environment is safe, welcoming and promotes community connection</w:t>
      </w:r>
    </w:p>
    <w:p w:rsidR="00E850C4" w:rsidRPr="00193402" w:rsidRDefault="00E850C4" w:rsidP="00737DAA">
      <w:pPr>
        <w:pStyle w:val="ListParagraph"/>
        <w:numPr>
          <w:ilvl w:val="0"/>
          <w:numId w:val="5"/>
        </w:numPr>
        <w:jc w:val="both"/>
        <w:rPr>
          <w:b w:val="0"/>
        </w:rPr>
      </w:pPr>
      <w:r w:rsidRPr="00193402">
        <w:rPr>
          <w:b w:val="0"/>
        </w:rPr>
        <w:t xml:space="preserve">Crime against public and private property is </w:t>
      </w:r>
      <w:proofErr w:type="spellStart"/>
      <w:r w:rsidRPr="00193402">
        <w:rPr>
          <w:b w:val="0"/>
        </w:rPr>
        <w:t>minimised</w:t>
      </w:r>
      <w:proofErr w:type="spellEnd"/>
    </w:p>
    <w:p w:rsidR="00E850C4" w:rsidRPr="00193402" w:rsidRDefault="00E850C4" w:rsidP="00737DAA">
      <w:pPr>
        <w:pStyle w:val="ListParagraph"/>
        <w:numPr>
          <w:ilvl w:val="0"/>
          <w:numId w:val="5"/>
        </w:numPr>
        <w:jc w:val="both"/>
        <w:rPr>
          <w:b w:val="0"/>
        </w:rPr>
      </w:pPr>
      <w:r w:rsidRPr="00193402">
        <w:rPr>
          <w:b w:val="0"/>
        </w:rPr>
        <w:t>Young people have education pathways and meaningful employment opportunities</w:t>
      </w:r>
    </w:p>
    <w:p w:rsidR="00E850C4" w:rsidRPr="00193402" w:rsidRDefault="00E850C4" w:rsidP="00737DAA">
      <w:pPr>
        <w:pStyle w:val="ListParagraph"/>
        <w:numPr>
          <w:ilvl w:val="0"/>
          <w:numId w:val="5"/>
        </w:numPr>
        <w:jc w:val="both"/>
        <w:rPr>
          <w:b w:val="0"/>
        </w:rPr>
      </w:pPr>
      <w:r w:rsidRPr="00193402">
        <w:rPr>
          <w:b w:val="0"/>
        </w:rPr>
        <w:t xml:space="preserve">Dangerous driving is </w:t>
      </w:r>
      <w:proofErr w:type="spellStart"/>
      <w:r w:rsidRPr="00193402">
        <w:rPr>
          <w:b w:val="0"/>
        </w:rPr>
        <w:t>minimised</w:t>
      </w:r>
      <w:proofErr w:type="spellEnd"/>
    </w:p>
    <w:p w:rsidR="00E850C4" w:rsidRPr="00193402" w:rsidRDefault="00193402" w:rsidP="00737DAA">
      <w:pPr>
        <w:pStyle w:val="ListParagraph"/>
        <w:numPr>
          <w:ilvl w:val="0"/>
          <w:numId w:val="5"/>
        </w:numPr>
        <w:jc w:val="both"/>
        <w:rPr>
          <w:b w:val="0"/>
        </w:rPr>
      </w:pPr>
      <w:r w:rsidRPr="00193402">
        <w:rPr>
          <w:b w:val="0"/>
        </w:rPr>
        <w:t>H</w:t>
      </w:r>
      <w:r w:rsidR="00E850C4" w:rsidRPr="00193402">
        <w:rPr>
          <w:b w:val="0"/>
        </w:rPr>
        <w:t xml:space="preserve">arms and negative impacts of financial vulnerability on community safety are </w:t>
      </w:r>
      <w:proofErr w:type="spellStart"/>
      <w:r w:rsidR="00E850C4" w:rsidRPr="00193402">
        <w:rPr>
          <w:b w:val="0"/>
        </w:rPr>
        <w:t>minimised</w:t>
      </w:r>
      <w:proofErr w:type="spellEnd"/>
    </w:p>
    <w:p w:rsidR="00E850C4" w:rsidRPr="00193402" w:rsidRDefault="00E850C4" w:rsidP="00737DAA">
      <w:pPr>
        <w:pStyle w:val="ListParagraph"/>
        <w:numPr>
          <w:ilvl w:val="0"/>
          <w:numId w:val="5"/>
        </w:numPr>
        <w:jc w:val="both"/>
        <w:rPr>
          <w:b w:val="0"/>
        </w:rPr>
      </w:pPr>
      <w:r w:rsidRPr="00193402">
        <w:rPr>
          <w:b w:val="0"/>
        </w:rPr>
        <w:t xml:space="preserve">Harms from alcohol are </w:t>
      </w:r>
      <w:proofErr w:type="spellStart"/>
      <w:r w:rsidRPr="00193402">
        <w:rPr>
          <w:b w:val="0"/>
        </w:rPr>
        <w:t>minimised</w:t>
      </w:r>
      <w:proofErr w:type="spellEnd"/>
    </w:p>
    <w:p w:rsidR="00E850C4" w:rsidRPr="00193402" w:rsidRDefault="00E850C4" w:rsidP="00737DAA">
      <w:pPr>
        <w:pStyle w:val="ListParagraph"/>
        <w:numPr>
          <w:ilvl w:val="0"/>
          <w:numId w:val="5"/>
        </w:numPr>
        <w:jc w:val="both"/>
        <w:rPr>
          <w:b w:val="0"/>
        </w:rPr>
      </w:pPr>
      <w:r w:rsidRPr="00193402">
        <w:rPr>
          <w:b w:val="0"/>
        </w:rPr>
        <w:t xml:space="preserve">Harms from illicit drugs are </w:t>
      </w:r>
      <w:proofErr w:type="spellStart"/>
      <w:r w:rsidRPr="00193402">
        <w:rPr>
          <w:b w:val="0"/>
        </w:rPr>
        <w:t>minimised</w:t>
      </w:r>
      <w:proofErr w:type="spellEnd"/>
    </w:p>
    <w:p w:rsidR="00E850C4" w:rsidRPr="00193402" w:rsidRDefault="00E850C4" w:rsidP="00737DAA">
      <w:pPr>
        <w:pStyle w:val="ListParagraph"/>
        <w:numPr>
          <w:ilvl w:val="0"/>
          <w:numId w:val="5"/>
        </w:numPr>
        <w:jc w:val="both"/>
        <w:rPr>
          <w:b w:val="0"/>
        </w:rPr>
      </w:pPr>
      <w:r w:rsidRPr="00193402">
        <w:rPr>
          <w:b w:val="0"/>
        </w:rPr>
        <w:t>Women and children live free from family violence</w:t>
      </w:r>
    </w:p>
    <w:p w:rsidR="00E850C4" w:rsidRPr="00193402" w:rsidRDefault="00E850C4" w:rsidP="00737DAA">
      <w:pPr>
        <w:pStyle w:val="ListParagraph"/>
        <w:numPr>
          <w:ilvl w:val="0"/>
          <w:numId w:val="5"/>
        </w:numPr>
        <w:jc w:val="both"/>
        <w:rPr>
          <w:b w:val="0"/>
        </w:rPr>
      </w:pPr>
      <w:r w:rsidRPr="00193402">
        <w:rPr>
          <w:b w:val="0"/>
        </w:rPr>
        <w:t>Employment programs are provided for key population groups</w:t>
      </w:r>
    </w:p>
    <w:p w:rsidR="00E850C4" w:rsidRPr="00193402" w:rsidRDefault="00E850C4" w:rsidP="00737DAA">
      <w:pPr>
        <w:pStyle w:val="ListParagraph"/>
        <w:numPr>
          <w:ilvl w:val="0"/>
          <w:numId w:val="5"/>
        </w:numPr>
        <w:jc w:val="both"/>
        <w:rPr>
          <w:b w:val="0"/>
        </w:rPr>
      </w:pPr>
      <w:r w:rsidRPr="00193402">
        <w:rPr>
          <w:b w:val="0"/>
        </w:rPr>
        <w:t xml:space="preserve">Negative community safety impacts from electronic and online crime are </w:t>
      </w:r>
      <w:proofErr w:type="spellStart"/>
      <w:r w:rsidRPr="00193402">
        <w:rPr>
          <w:b w:val="0"/>
        </w:rPr>
        <w:t>minimised</w:t>
      </w:r>
      <w:proofErr w:type="spellEnd"/>
    </w:p>
    <w:p w:rsidR="00193402" w:rsidRPr="0096158C" w:rsidRDefault="00193402" w:rsidP="00E850C4">
      <w:pPr>
        <w:jc w:val="both"/>
        <w:rPr>
          <w:b/>
        </w:rPr>
      </w:pPr>
    </w:p>
    <w:p w:rsidR="0084168E" w:rsidRDefault="004A1635" w:rsidP="00193402">
      <w:pPr>
        <w:jc w:val="both"/>
      </w:pPr>
      <w:r>
        <w:t xml:space="preserve">These </w:t>
      </w:r>
      <w:r w:rsidR="00193402">
        <w:t>goals</w:t>
      </w:r>
      <w:r>
        <w:t xml:space="preserve"> </w:t>
      </w:r>
      <w:r w:rsidR="00193402">
        <w:t>inform</w:t>
      </w:r>
      <w:r>
        <w:t xml:space="preserve"> </w:t>
      </w:r>
      <w:r w:rsidR="00193402">
        <w:t xml:space="preserve">the Community Safety and Crime Prevention Committee’s </w:t>
      </w:r>
      <w:r w:rsidR="001621AD">
        <w:t xml:space="preserve">annual </w:t>
      </w:r>
      <w:r w:rsidR="00193402">
        <w:t xml:space="preserve">action plan.  The Action Plan articulates </w:t>
      </w:r>
      <w:r>
        <w:t xml:space="preserve">crime prevention </w:t>
      </w:r>
      <w:r w:rsidR="0084168E">
        <w:t xml:space="preserve">and advocacy </w:t>
      </w:r>
      <w:r w:rsidR="00193402">
        <w:t xml:space="preserve">actions </w:t>
      </w:r>
      <w:r w:rsidR="0084168E">
        <w:t xml:space="preserve">to improve community </w:t>
      </w:r>
      <w:r w:rsidR="001960DC">
        <w:t xml:space="preserve">perceptions of </w:t>
      </w:r>
      <w:r w:rsidR="0084168E">
        <w:t xml:space="preserve">safety and </w:t>
      </w:r>
      <w:r w:rsidR="00193402">
        <w:t xml:space="preserve">minimise crime. </w:t>
      </w:r>
    </w:p>
    <w:p w:rsidR="00362058" w:rsidRPr="00362058" w:rsidRDefault="00362058" w:rsidP="00362058">
      <w:pPr>
        <w:rPr>
          <w:rFonts w:eastAsiaTheme="majorEastAsia" w:cstheme="majorBidi"/>
          <w:color w:val="00A4E4"/>
          <w:sz w:val="44"/>
          <w:szCs w:val="28"/>
        </w:rPr>
      </w:pPr>
      <w:r>
        <w:br w:type="page"/>
      </w:r>
    </w:p>
    <w:p w:rsidR="009F134D" w:rsidRDefault="00845113" w:rsidP="00D87898">
      <w:pPr>
        <w:pStyle w:val="Heading2"/>
      </w:pPr>
      <w:bookmarkStart w:id="5" w:name="_Toc477338726"/>
      <w:r>
        <w:t>Background</w:t>
      </w:r>
      <w:bookmarkEnd w:id="5"/>
    </w:p>
    <w:p w:rsidR="0023683C" w:rsidRPr="00B00BD4" w:rsidRDefault="0023683C" w:rsidP="009F134D">
      <w:pPr>
        <w:jc w:val="both"/>
      </w:pPr>
      <w:r w:rsidRPr="00B00BD4">
        <w:t xml:space="preserve">In 2012, the City of Whittlesea and key external stakeholders were involved in a partnership with the Department of Justice and Regulation to develop a ‘Local Area Community Safety Profile’ which bought together key crime and safety data with social indicators to develop a profile outlining key areas of focus to prevent crime and improve safety.  The City of Whittlesea was identified by the Department of Justice and Regulation for this work due to lower than Victorian average perceptions of safety, high levels of residents with outstanding warrants, the number of prisoners who identified City of Whittlesea as their place of residence upon incarceration and for exceeding the Victorian average of people on Community Correctional Services </w:t>
      </w:r>
      <w:r w:rsidR="003F6E76" w:rsidRPr="00B00BD4">
        <w:t>orders</w:t>
      </w:r>
      <w:r w:rsidRPr="00B00BD4">
        <w:t xml:space="preserve"> living in </w:t>
      </w:r>
      <w:r w:rsidR="003F6E76" w:rsidRPr="00B00BD4">
        <w:t>municipality</w:t>
      </w:r>
      <w:r w:rsidRPr="00B00BD4">
        <w:t xml:space="preserve">.  </w:t>
      </w:r>
    </w:p>
    <w:p w:rsidR="00561CBB" w:rsidRDefault="003F6E76" w:rsidP="009F134D">
      <w:pPr>
        <w:jc w:val="both"/>
      </w:pPr>
      <w:r w:rsidRPr="00B00BD4">
        <w:t>Further to this, c</w:t>
      </w:r>
      <w:r w:rsidR="0023683C" w:rsidRPr="00B00BD4">
        <w:t>ommunity consultation</w:t>
      </w:r>
      <w:r w:rsidRPr="00B00BD4">
        <w:t>s</w:t>
      </w:r>
      <w:r w:rsidR="0023683C" w:rsidRPr="00B00BD4">
        <w:t xml:space="preserve"> and data analysis undertaken for the City of Whittlesea Community Plan in 2012 identified community safety as a priority issue for Council to address.  </w:t>
      </w:r>
      <w:r w:rsidR="0089635C" w:rsidRPr="00B00BD4">
        <w:t>Subsequently, t</w:t>
      </w:r>
      <w:r w:rsidR="009F134D" w:rsidRPr="00B00BD4">
        <w:t xml:space="preserve">he City of Whittlesea Council Plan and Municipal Health and Wellbeing Plan 2013-2017 </w:t>
      </w:r>
      <w:r w:rsidR="0089635C" w:rsidRPr="00B00BD4">
        <w:t>included a g</w:t>
      </w:r>
      <w:r w:rsidR="009F134D" w:rsidRPr="00B00BD4">
        <w:t xml:space="preserve">oal </w:t>
      </w:r>
      <w:r w:rsidR="009F134D" w:rsidRPr="00B00BD4">
        <w:rPr>
          <w:i/>
        </w:rPr>
        <w:t>Council will support</w:t>
      </w:r>
      <w:r w:rsidR="009F134D" w:rsidRPr="0089635C">
        <w:rPr>
          <w:i/>
        </w:rPr>
        <w:t xml:space="preserve"> action to increase community safety, enhance perceptions of community safety and prevent crime across the municipality</w:t>
      </w:r>
      <w:r w:rsidR="0089635C">
        <w:rPr>
          <w:i/>
        </w:rPr>
        <w:t xml:space="preserve">. </w:t>
      </w:r>
      <w:r w:rsidR="0089635C">
        <w:t xml:space="preserve"> From here, an action to develop a strategy to articulate Council’s role in community safety and crime prevention was included and work </w:t>
      </w:r>
      <w:r w:rsidR="008810B0">
        <w:t xml:space="preserve">commenced in partnership </w:t>
      </w:r>
      <w:r w:rsidR="0089635C">
        <w:t xml:space="preserve">with </w:t>
      </w:r>
      <w:r w:rsidR="00561CBB">
        <w:t>Victoria Police to establish a committee</w:t>
      </w:r>
      <w:r w:rsidR="0089635C">
        <w:t>.</w:t>
      </w:r>
    </w:p>
    <w:p w:rsidR="00561CBB" w:rsidRDefault="00561CBB" w:rsidP="009F134D">
      <w:pPr>
        <w:jc w:val="both"/>
      </w:pPr>
    </w:p>
    <w:p w:rsidR="00737DAA" w:rsidRDefault="009F134D" w:rsidP="009F134D">
      <w:pPr>
        <w:jc w:val="both"/>
      </w:pPr>
      <w:r>
        <w:t>The Community Safety and Crime Prevention (CS</w:t>
      </w:r>
      <w:r w:rsidR="008E3AE3">
        <w:t>&amp;</w:t>
      </w:r>
      <w:r>
        <w:t>CP) C</w:t>
      </w:r>
      <w:r w:rsidR="00403A1E">
        <w:t>ommittee was established in 2015</w:t>
      </w:r>
      <w:r>
        <w:t xml:space="preserve"> and is a partnership between Victoria Police and City of Whittlesea.  The CS</w:t>
      </w:r>
      <w:r w:rsidR="008E3AE3">
        <w:t>&amp;</w:t>
      </w:r>
      <w:r>
        <w:t xml:space="preserve">CP Committee is resourced by the </w:t>
      </w:r>
      <w:r w:rsidR="00737DAA">
        <w:t xml:space="preserve">City of Whittlesea’s </w:t>
      </w:r>
      <w:r>
        <w:t>Community Safety Officer and is co-chaired by the Local Area Commander of Victoria Police and the Director Community Services of City of Whittlesea.  The CS</w:t>
      </w:r>
      <w:r w:rsidR="008E3AE3">
        <w:t>&amp;</w:t>
      </w:r>
      <w:r>
        <w:t xml:space="preserve">CP Committee agencies represent a range of community settings and population groups and work across the framework of crime prevention interventions.  </w:t>
      </w:r>
    </w:p>
    <w:p w:rsidR="009F134D" w:rsidRDefault="009F134D" w:rsidP="009F134D">
      <w:pPr>
        <w:jc w:val="both"/>
      </w:pPr>
      <w:r>
        <w:t>Members of the CS</w:t>
      </w:r>
      <w:r w:rsidR="008E3AE3">
        <w:t>&amp;</w:t>
      </w:r>
      <w:r>
        <w:t>CP Committee:</w:t>
      </w:r>
    </w:p>
    <w:p w:rsidR="009366B5" w:rsidRPr="00035BE0" w:rsidRDefault="009366B5" w:rsidP="00737DAA">
      <w:pPr>
        <w:pStyle w:val="ListParagraph"/>
        <w:numPr>
          <w:ilvl w:val="0"/>
          <w:numId w:val="2"/>
        </w:numPr>
        <w:spacing w:before="120" w:after="120"/>
        <w:ind w:left="1071" w:hanging="357"/>
        <w:jc w:val="both"/>
        <w:rPr>
          <w:b w:val="0"/>
        </w:rPr>
      </w:pPr>
      <w:r w:rsidRPr="00035BE0">
        <w:rPr>
          <w:b w:val="0"/>
        </w:rPr>
        <w:t xml:space="preserve">City of </w:t>
      </w:r>
      <w:proofErr w:type="spellStart"/>
      <w:r w:rsidRPr="00035BE0">
        <w:rPr>
          <w:b w:val="0"/>
        </w:rPr>
        <w:t>Whittlesea</w:t>
      </w:r>
      <w:proofErr w:type="spellEnd"/>
      <w:r w:rsidRPr="00035BE0">
        <w:rPr>
          <w:b w:val="0"/>
        </w:rPr>
        <w:t xml:space="preserve"> (</w:t>
      </w:r>
      <w:r w:rsidR="00AA0B0E">
        <w:rPr>
          <w:b w:val="0"/>
        </w:rPr>
        <w:t xml:space="preserve">Aged and Disability, </w:t>
      </w:r>
      <w:r w:rsidRPr="00035BE0">
        <w:rPr>
          <w:b w:val="0"/>
        </w:rPr>
        <w:t>Youth Services, Community Inclusion, Parks and Open Space, Jobs and Investment, Community Wellbeing, Local Laws)</w:t>
      </w:r>
    </w:p>
    <w:p w:rsidR="009366B5" w:rsidRPr="00035BE0" w:rsidRDefault="009366B5" w:rsidP="00737DAA">
      <w:pPr>
        <w:pStyle w:val="ListParagraph"/>
        <w:numPr>
          <w:ilvl w:val="0"/>
          <w:numId w:val="2"/>
        </w:numPr>
        <w:spacing w:before="120" w:after="120"/>
        <w:ind w:left="1071" w:hanging="357"/>
        <w:jc w:val="both"/>
        <w:rPr>
          <w:b w:val="0"/>
        </w:rPr>
      </w:pPr>
      <w:r w:rsidRPr="00035BE0">
        <w:rPr>
          <w:b w:val="0"/>
        </w:rPr>
        <w:t>Department of Justice and Regulation</w:t>
      </w:r>
    </w:p>
    <w:p w:rsidR="009366B5" w:rsidRPr="00035BE0" w:rsidRDefault="009366B5" w:rsidP="00737DAA">
      <w:pPr>
        <w:pStyle w:val="ListParagraph"/>
        <w:numPr>
          <w:ilvl w:val="0"/>
          <w:numId w:val="2"/>
        </w:numPr>
        <w:spacing w:before="120" w:after="120"/>
        <w:ind w:left="1071" w:hanging="357"/>
        <w:jc w:val="both"/>
        <w:rPr>
          <w:b w:val="0"/>
        </w:rPr>
      </w:pPr>
      <w:r w:rsidRPr="00035BE0">
        <w:rPr>
          <w:b w:val="0"/>
        </w:rPr>
        <w:t xml:space="preserve">Hume </w:t>
      </w:r>
      <w:proofErr w:type="spellStart"/>
      <w:r w:rsidRPr="00035BE0">
        <w:rPr>
          <w:b w:val="0"/>
        </w:rPr>
        <w:t>Whittlesea</w:t>
      </w:r>
      <w:proofErr w:type="spellEnd"/>
      <w:r w:rsidRPr="00035BE0">
        <w:rPr>
          <w:b w:val="0"/>
        </w:rPr>
        <w:t xml:space="preserve"> Local Learning and Employment Network</w:t>
      </w:r>
    </w:p>
    <w:p w:rsidR="009366B5" w:rsidRPr="00035BE0" w:rsidRDefault="009366B5" w:rsidP="00737DAA">
      <w:pPr>
        <w:pStyle w:val="ListParagraph"/>
        <w:numPr>
          <w:ilvl w:val="0"/>
          <w:numId w:val="2"/>
        </w:numPr>
        <w:spacing w:before="120" w:after="120"/>
        <w:ind w:left="1071" w:hanging="357"/>
        <w:jc w:val="both"/>
        <w:rPr>
          <w:b w:val="0"/>
        </w:rPr>
      </w:pPr>
      <w:proofErr w:type="spellStart"/>
      <w:r w:rsidRPr="00035BE0">
        <w:rPr>
          <w:b w:val="0"/>
        </w:rPr>
        <w:t>Neighbourhood</w:t>
      </w:r>
      <w:proofErr w:type="spellEnd"/>
      <w:r w:rsidRPr="00035BE0">
        <w:rPr>
          <w:b w:val="0"/>
        </w:rPr>
        <w:t xml:space="preserve"> Watch</w:t>
      </w:r>
    </w:p>
    <w:p w:rsidR="009366B5" w:rsidRDefault="009366B5" w:rsidP="00737DAA">
      <w:pPr>
        <w:pStyle w:val="ListParagraph"/>
        <w:numPr>
          <w:ilvl w:val="0"/>
          <w:numId w:val="2"/>
        </w:numPr>
        <w:spacing w:before="120" w:after="120"/>
        <w:ind w:left="1071" w:hanging="357"/>
        <w:jc w:val="both"/>
        <w:rPr>
          <w:b w:val="0"/>
        </w:rPr>
      </w:pPr>
      <w:r w:rsidRPr="00035BE0">
        <w:rPr>
          <w:b w:val="0"/>
        </w:rPr>
        <w:t>Northern Hospital</w:t>
      </w:r>
    </w:p>
    <w:p w:rsidR="009366B5" w:rsidRPr="00035BE0" w:rsidRDefault="009366B5" w:rsidP="00737DAA">
      <w:pPr>
        <w:pStyle w:val="ListParagraph"/>
        <w:numPr>
          <w:ilvl w:val="0"/>
          <w:numId w:val="2"/>
        </w:numPr>
        <w:spacing w:before="120" w:after="120"/>
        <w:ind w:left="1071" w:hanging="357"/>
        <w:jc w:val="both"/>
        <w:rPr>
          <w:b w:val="0"/>
        </w:rPr>
      </w:pPr>
      <w:r>
        <w:rPr>
          <w:b w:val="0"/>
        </w:rPr>
        <w:t>Plenty Valley Community Health</w:t>
      </w:r>
    </w:p>
    <w:p w:rsidR="009366B5" w:rsidRPr="00035BE0" w:rsidRDefault="009366B5" w:rsidP="00737DAA">
      <w:pPr>
        <w:pStyle w:val="ListParagraph"/>
        <w:numPr>
          <w:ilvl w:val="0"/>
          <w:numId w:val="2"/>
        </w:numPr>
        <w:spacing w:before="120" w:after="120"/>
        <w:ind w:left="1071" w:hanging="357"/>
        <w:jc w:val="both"/>
        <w:rPr>
          <w:b w:val="0"/>
        </w:rPr>
      </w:pPr>
      <w:r w:rsidRPr="00035BE0">
        <w:rPr>
          <w:b w:val="0"/>
        </w:rPr>
        <w:t xml:space="preserve">Uniting Care </w:t>
      </w:r>
      <w:proofErr w:type="spellStart"/>
      <w:r w:rsidRPr="00035BE0">
        <w:rPr>
          <w:b w:val="0"/>
        </w:rPr>
        <w:t>ReGen</w:t>
      </w:r>
      <w:proofErr w:type="spellEnd"/>
    </w:p>
    <w:p w:rsidR="009366B5" w:rsidRPr="00035BE0" w:rsidRDefault="009366B5" w:rsidP="00737DAA">
      <w:pPr>
        <w:pStyle w:val="ListParagraph"/>
        <w:numPr>
          <w:ilvl w:val="0"/>
          <w:numId w:val="2"/>
        </w:numPr>
        <w:spacing w:before="120" w:after="120"/>
        <w:ind w:left="1071" w:hanging="357"/>
        <w:jc w:val="both"/>
        <w:rPr>
          <w:b w:val="0"/>
        </w:rPr>
      </w:pPr>
      <w:r w:rsidRPr="00035BE0">
        <w:rPr>
          <w:b w:val="0"/>
        </w:rPr>
        <w:t>Victoria Police</w:t>
      </w:r>
    </w:p>
    <w:p w:rsidR="009366B5" w:rsidRPr="00035BE0" w:rsidRDefault="009366B5" w:rsidP="00737DAA">
      <w:pPr>
        <w:pStyle w:val="ListParagraph"/>
        <w:numPr>
          <w:ilvl w:val="0"/>
          <w:numId w:val="2"/>
        </w:numPr>
        <w:spacing w:before="120" w:after="120"/>
        <w:ind w:left="1071" w:hanging="357"/>
        <w:jc w:val="both"/>
        <w:rPr>
          <w:b w:val="0"/>
        </w:rPr>
      </w:pPr>
      <w:proofErr w:type="spellStart"/>
      <w:r w:rsidRPr="00035BE0">
        <w:rPr>
          <w:b w:val="0"/>
        </w:rPr>
        <w:t>Whittlesea</w:t>
      </w:r>
      <w:proofErr w:type="spellEnd"/>
      <w:r w:rsidRPr="00035BE0">
        <w:rPr>
          <w:b w:val="0"/>
        </w:rPr>
        <w:t xml:space="preserve"> Community Connections</w:t>
      </w:r>
    </w:p>
    <w:p w:rsidR="009366B5" w:rsidRPr="00035BE0" w:rsidRDefault="009366B5" w:rsidP="00737DAA">
      <w:pPr>
        <w:pStyle w:val="ListParagraph"/>
        <w:numPr>
          <w:ilvl w:val="0"/>
          <w:numId w:val="2"/>
        </w:numPr>
        <w:spacing w:before="120" w:after="120"/>
        <w:ind w:left="1071" w:hanging="357"/>
        <w:jc w:val="both"/>
        <w:rPr>
          <w:b w:val="0"/>
        </w:rPr>
      </w:pPr>
      <w:r w:rsidRPr="00035BE0">
        <w:rPr>
          <w:b w:val="0"/>
        </w:rPr>
        <w:t>Youth Support and Advocacy Service</w:t>
      </w:r>
    </w:p>
    <w:p w:rsidR="009F134D" w:rsidRDefault="009F134D" w:rsidP="009F134D">
      <w:pPr>
        <w:jc w:val="both"/>
      </w:pPr>
    </w:p>
    <w:p w:rsidR="009F134D" w:rsidRDefault="003F6E76" w:rsidP="009F134D">
      <w:pPr>
        <w:jc w:val="both"/>
      </w:pPr>
      <w:r>
        <w:t xml:space="preserve">The City of Whittlesea developed this Strategy in partnership with the CS&amp;CP Committee </w:t>
      </w:r>
      <w:r w:rsidR="009F134D">
        <w:t>through a serious of facilitated workshops</w:t>
      </w:r>
      <w:r>
        <w:t xml:space="preserve"> exploring</w:t>
      </w:r>
      <w:r w:rsidR="009F134D">
        <w:t xml:space="preserve"> evidence, local research and data.  Themes were identified and tailored actions were developed to address the community safety and crime prevention needs </w:t>
      </w:r>
      <w:r>
        <w:t>identified</w:t>
      </w:r>
      <w:r w:rsidR="009F134D">
        <w:t>.  Early on in these workshops the CS</w:t>
      </w:r>
      <w:r w:rsidR="008E3AE3">
        <w:t>&amp;</w:t>
      </w:r>
      <w:r w:rsidR="009F134D">
        <w:t>CP Committee identified extensive work being undertaken that is locally focussed on family violence, including</w:t>
      </w:r>
      <w:r w:rsidR="008E3AE3">
        <w:t>:</w:t>
      </w:r>
    </w:p>
    <w:p w:rsidR="009F134D" w:rsidRPr="00DC5A0C" w:rsidRDefault="009F134D" w:rsidP="00737DAA">
      <w:pPr>
        <w:pStyle w:val="ListParagraph"/>
        <w:numPr>
          <w:ilvl w:val="0"/>
          <w:numId w:val="2"/>
        </w:numPr>
        <w:jc w:val="both"/>
        <w:rPr>
          <w:b w:val="0"/>
        </w:rPr>
      </w:pPr>
      <w:r w:rsidRPr="00DC5A0C">
        <w:rPr>
          <w:b w:val="0"/>
        </w:rPr>
        <w:t xml:space="preserve">the </w:t>
      </w:r>
      <w:proofErr w:type="spellStart"/>
      <w:r w:rsidRPr="00DC5A0C">
        <w:rPr>
          <w:b w:val="0"/>
        </w:rPr>
        <w:t>Whittlesea</w:t>
      </w:r>
      <w:proofErr w:type="spellEnd"/>
      <w:r w:rsidRPr="00DC5A0C">
        <w:rPr>
          <w:b w:val="0"/>
        </w:rPr>
        <w:t xml:space="preserve"> CALD Commu</w:t>
      </w:r>
      <w:r>
        <w:rPr>
          <w:b w:val="0"/>
        </w:rPr>
        <w:t>nities Family Violence Project</w:t>
      </w:r>
    </w:p>
    <w:p w:rsidR="009F134D" w:rsidRPr="00DC5A0C" w:rsidRDefault="009F134D" w:rsidP="00737DAA">
      <w:pPr>
        <w:pStyle w:val="ListParagraph"/>
        <w:numPr>
          <w:ilvl w:val="0"/>
          <w:numId w:val="2"/>
        </w:numPr>
        <w:jc w:val="both"/>
        <w:rPr>
          <w:b w:val="0"/>
        </w:rPr>
      </w:pPr>
      <w:r>
        <w:rPr>
          <w:b w:val="0"/>
        </w:rPr>
        <w:t xml:space="preserve">the </w:t>
      </w:r>
      <w:r w:rsidR="00737DAA">
        <w:rPr>
          <w:b w:val="0"/>
        </w:rPr>
        <w:t>‘</w:t>
      </w:r>
      <w:proofErr w:type="spellStart"/>
      <w:r>
        <w:rPr>
          <w:b w:val="0"/>
        </w:rPr>
        <w:t>Hamdel</w:t>
      </w:r>
      <w:proofErr w:type="spellEnd"/>
      <w:r>
        <w:rPr>
          <w:b w:val="0"/>
        </w:rPr>
        <w:t xml:space="preserve"> Project</w:t>
      </w:r>
      <w:r w:rsidR="00737DAA">
        <w:rPr>
          <w:b w:val="0"/>
        </w:rPr>
        <w:t xml:space="preserve">’ – a prevention project working with the Iranian community </w:t>
      </w:r>
    </w:p>
    <w:p w:rsidR="009F134D" w:rsidRDefault="009F134D" w:rsidP="00737DAA">
      <w:pPr>
        <w:pStyle w:val="ListParagraph"/>
        <w:numPr>
          <w:ilvl w:val="0"/>
          <w:numId w:val="2"/>
        </w:numPr>
        <w:jc w:val="both"/>
        <w:rPr>
          <w:b w:val="0"/>
        </w:rPr>
      </w:pPr>
      <w:r w:rsidRPr="00DC5A0C">
        <w:rPr>
          <w:b w:val="0"/>
        </w:rPr>
        <w:t xml:space="preserve">City of </w:t>
      </w:r>
      <w:proofErr w:type="spellStart"/>
      <w:r w:rsidRPr="00DC5A0C">
        <w:rPr>
          <w:b w:val="0"/>
        </w:rPr>
        <w:t>Whittlesea’s</w:t>
      </w:r>
      <w:proofErr w:type="spellEnd"/>
      <w:r w:rsidRPr="00DC5A0C">
        <w:rPr>
          <w:b w:val="0"/>
        </w:rPr>
        <w:t xml:space="preserve"> Family Violence and Gender Equity Strategies</w:t>
      </w:r>
    </w:p>
    <w:p w:rsidR="009F134D" w:rsidRPr="00DC5A0C" w:rsidRDefault="009F134D" w:rsidP="00737DAA">
      <w:pPr>
        <w:pStyle w:val="ListParagraph"/>
        <w:numPr>
          <w:ilvl w:val="0"/>
          <w:numId w:val="2"/>
        </w:numPr>
        <w:jc w:val="both"/>
        <w:rPr>
          <w:b w:val="0"/>
        </w:rPr>
      </w:pPr>
      <w:r w:rsidRPr="00DC5A0C">
        <w:rPr>
          <w:b w:val="0"/>
        </w:rPr>
        <w:t>Other agency’s strategies and plans</w:t>
      </w:r>
    </w:p>
    <w:p w:rsidR="009F134D" w:rsidRDefault="009F134D" w:rsidP="00737DAA">
      <w:pPr>
        <w:pStyle w:val="ListParagraph"/>
        <w:numPr>
          <w:ilvl w:val="0"/>
          <w:numId w:val="2"/>
        </w:numPr>
        <w:jc w:val="both"/>
        <w:rPr>
          <w:b w:val="0"/>
        </w:rPr>
      </w:pPr>
      <w:r w:rsidRPr="00DC5A0C">
        <w:rPr>
          <w:b w:val="0"/>
        </w:rPr>
        <w:t>the work of specialist family violence services, Victoria Police and many other agencies</w:t>
      </w:r>
    </w:p>
    <w:p w:rsidR="009F134D" w:rsidRDefault="009F134D" w:rsidP="009F134D">
      <w:pPr>
        <w:jc w:val="both"/>
      </w:pPr>
    </w:p>
    <w:p w:rsidR="009F134D" w:rsidRDefault="009F134D" w:rsidP="009F134D">
      <w:pPr>
        <w:jc w:val="both"/>
      </w:pPr>
      <w:r>
        <w:t>The CS</w:t>
      </w:r>
      <w:r w:rsidR="006B3FF5">
        <w:t>&amp;</w:t>
      </w:r>
      <w:r>
        <w:t>CP Committee therefore concluded that</w:t>
      </w:r>
      <w:r w:rsidRPr="00DC5A0C">
        <w:t xml:space="preserve"> this Strategy would not seek to include any additional actions </w:t>
      </w:r>
      <w:r>
        <w:t xml:space="preserve">to address family violence </w:t>
      </w:r>
      <w:r w:rsidRPr="00DC5A0C">
        <w:t xml:space="preserve">and </w:t>
      </w:r>
      <w:r>
        <w:t>as such</w:t>
      </w:r>
      <w:r w:rsidRPr="00DC5A0C">
        <w:t xml:space="preserve"> includes a reference to implementation of the City of Whittlesea Family Violence Strategy.</w:t>
      </w:r>
      <w:r w:rsidR="00561CBB">
        <w:t xml:space="preserve">  The Strategy will address engagement in crime and negative community perceptions of safety in partnership with the CS&amp;CP Committee.</w:t>
      </w:r>
    </w:p>
    <w:p w:rsidR="00737DAA" w:rsidRDefault="00737DAA" w:rsidP="009F134D">
      <w:pPr>
        <w:jc w:val="both"/>
      </w:pPr>
    </w:p>
    <w:p w:rsidR="00737DAA" w:rsidRDefault="00737DAA" w:rsidP="009F134D">
      <w:pPr>
        <w:jc w:val="both"/>
      </w:pPr>
      <w:r>
        <w:t>Furth</w:t>
      </w:r>
      <w:r w:rsidR="001621AD">
        <w:t>er, during development of this S</w:t>
      </w:r>
      <w:r>
        <w:t>trategy, Council resolved to establish a Road Safety Committee and develop a Road Safety Strategy.  As such, the CS&amp;CP Committee concluded that particular action to address road safety issues and crime would be articulated through the Road Safety Strategy and are therefore not included in this Strategy.</w:t>
      </w:r>
    </w:p>
    <w:p w:rsidR="003F6E76" w:rsidRDefault="003F6E76" w:rsidP="009F134D">
      <w:pPr>
        <w:jc w:val="both"/>
      </w:pPr>
    </w:p>
    <w:p w:rsidR="003F6E76" w:rsidRDefault="003F6E76" w:rsidP="009F134D">
      <w:pPr>
        <w:jc w:val="both"/>
      </w:pPr>
      <w:r w:rsidRPr="00B00BD4">
        <w:t>This is a Council Strategy which articulates the important work of Council but particularly emphasises the partnerships and collaboration required to undertake successful crime prevention wo</w:t>
      </w:r>
      <w:r w:rsidR="00C419A6" w:rsidRPr="00B00BD4">
        <w:t xml:space="preserve">rk.  The accompanying Action Plan 2016-2017 outlines the collective work of the CS&amp;CP Committee agencies including </w:t>
      </w:r>
      <w:r w:rsidR="008A1A30" w:rsidRPr="00B00BD4">
        <w:t xml:space="preserve">some </w:t>
      </w:r>
      <w:r w:rsidR="00C419A6" w:rsidRPr="00B00BD4">
        <w:t>actions for Council.</w:t>
      </w:r>
      <w:r w:rsidR="009B0503">
        <w:t xml:space="preserve"> </w:t>
      </w:r>
    </w:p>
    <w:p w:rsidR="008810B0" w:rsidRPr="00DC5A0C" w:rsidRDefault="008810B0" w:rsidP="009F134D">
      <w:pPr>
        <w:jc w:val="both"/>
      </w:pPr>
    </w:p>
    <w:p w:rsidR="008810B0" w:rsidRDefault="008810B0" w:rsidP="00D87898">
      <w:pPr>
        <w:pStyle w:val="Heading3"/>
      </w:pPr>
      <w:bookmarkStart w:id="6" w:name="_Toc477338727"/>
      <w:r>
        <w:t>Consultation and engagement</w:t>
      </w:r>
      <w:bookmarkEnd w:id="6"/>
    </w:p>
    <w:p w:rsidR="009F134D" w:rsidRDefault="009F134D" w:rsidP="009F134D">
      <w:pPr>
        <w:jc w:val="both"/>
      </w:pPr>
      <w:r w:rsidRPr="00942871">
        <w:t>Consultation will be held as required to shape implementation of actions within the plan to ensure responsive</w:t>
      </w:r>
      <w:r w:rsidR="001621AD">
        <w:t>ness</w:t>
      </w:r>
      <w:r w:rsidRPr="00942871">
        <w:t xml:space="preserve"> to community need.  Continued engagement with community through the CS</w:t>
      </w:r>
      <w:r w:rsidR="006B3FF5">
        <w:t>&amp;</w:t>
      </w:r>
      <w:r w:rsidRPr="00942871">
        <w:t>CP Committee agencies will inform the implementation of the action plans to be developed annually.  This Strategy must be flexible enough to take advantage of opportunities as they present and to adapt to emerging trends and issues.</w:t>
      </w:r>
    </w:p>
    <w:p w:rsidR="009F134D" w:rsidRDefault="009F134D" w:rsidP="009F134D">
      <w:pPr>
        <w:jc w:val="both"/>
      </w:pPr>
    </w:p>
    <w:p w:rsidR="009F134D" w:rsidRDefault="009F134D" w:rsidP="009F134D">
      <w:pPr>
        <w:jc w:val="both"/>
      </w:pPr>
      <w:r>
        <w:t>In addition to consultation held as required on specific actions throughout the implementation phase, the CS</w:t>
      </w:r>
      <w:r w:rsidR="006B3FF5">
        <w:t>&amp;</w:t>
      </w:r>
      <w:r>
        <w:t>CP Committee decided that for the life of this Strategy, annual community safety forums or ‘open meetings’ will be held to ensure the community is invited to have a say on issues that affect them and how action is developed to address these.</w:t>
      </w:r>
    </w:p>
    <w:p w:rsidR="00E02FF4" w:rsidRDefault="00E02FF4">
      <w:pPr>
        <w:rPr>
          <w:rFonts w:eastAsiaTheme="majorEastAsia" w:cstheme="majorBidi"/>
          <w:b/>
          <w:bCs/>
          <w:color w:val="00A4E4"/>
          <w:sz w:val="44"/>
          <w:szCs w:val="28"/>
        </w:rPr>
      </w:pPr>
      <w:r>
        <w:br w:type="page"/>
      </w:r>
    </w:p>
    <w:p w:rsidR="00035BE0" w:rsidRDefault="00035BE0" w:rsidP="00D87898">
      <w:pPr>
        <w:pStyle w:val="Heading2"/>
      </w:pPr>
      <w:bookmarkStart w:id="7" w:name="_Toc477338728"/>
      <w:r>
        <w:t>Policy context</w:t>
      </w:r>
      <w:bookmarkEnd w:id="7"/>
    </w:p>
    <w:p w:rsidR="00035BE0" w:rsidRPr="00286E54" w:rsidRDefault="00035BE0" w:rsidP="00D87898">
      <w:pPr>
        <w:pStyle w:val="Heading3"/>
        <w:rPr>
          <w:lang w:val="en-GB"/>
        </w:rPr>
      </w:pPr>
      <w:bookmarkStart w:id="8" w:name="_Toc413051144"/>
      <w:bookmarkStart w:id="9" w:name="_Toc477338729"/>
      <w:r w:rsidRPr="00286E54">
        <w:rPr>
          <w:lang w:val="en-GB"/>
        </w:rPr>
        <w:t>Parliamentary Inquiry into Locally Based Approaches to Community Safety and Crime Prevention (2012)</w:t>
      </w:r>
      <w:bookmarkEnd w:id="8"/>
      <w:bookmarkEnd w:id="9"/>
    </w:p>
    <w:p w:rsidR="00035BE0" w:rsidRDefault="00035BE0" w:rsidP="00936D4A">
      <w:pPr>
        <w:jc w:val="both"/>
      </w:pPr>
      <w:r w:rsidRPr="003D239A">
        <w:t>The inquiry focussed on the process and models through which effective crime prevention policy and programs can be developed and implemented at a local level and the partnerships that can be formed to make this happen.  It provides specific recommendations for implementing crime prevention and community safety strategies for local governments.</w:t>
      </w:r>
    </w:p>
    <w:p w:rsidR="003F0A40" w:rsidRPr="003D239A" w:rsidRDefault="003F0A40" w:rsidP="00936D4A">
      <w:pPr>
        <w:jc w:val="both"/>
      </w:pPr>
    </w:p>
    <w:p w:rsidR="00035BE0" w:rsidRDefault="00035BE0" w:rsidP="00D87898">
      <w:pPr>
        <w:pStyle w:val="Heading3"/>
        <w:rPr>
          <w:lang w:val="en-GB"/>
        </w:rPr>
      </w:pPr>
      <w:bookmarkStart w:id="10" w:name="_Toc413051145"/>
      <w:bookmarkStart w:id="11" w:name="_Toc477338730"/>
      <w:r w:rsidRPr="00AB7D08">
        <w:rPr>
          <w:lang w:val="en-GB"/>
        </w:rPr>
        <w:t>National Crime Prevention Framework</w:t>
      </w:r>
      <w:bookmarkEnd w:id="10"/>
      <w:bookmarkEnd w:id="11"/>
      <w:r w:rsidRPr="00AB7D08">
        <w:rPr>
          <w:lang w:val="en-GB"/>
        </w:rPr>
        <w:t xml:space="preserve"> </w:t>
      </w:r>
    </w:p>
    <w:p w:rsidR="00035BE0" w:rsidRDefault="00035BE0" w:rsidP="00936D4A">
      <w:pPr>
        <w:jc w:val="both"/>
      </w:pPr>
      <w:r w:rsidRPr="003D239A">
        <w:t>A resource which outlines the most effective approaches to the prevention of crime; and provides guidance by way of information on best practice to assist with the development of appropriate policies, strategies and prog</w:t>
      </w:r>
      <w:r w:rsidR="001F2A6A">
        <w:t xml:space="preserve">rams to address crime </w:t>
      </w:r>
      <w:r w:rsidR="002209B5">
        <w:t>trends and issues</w:t>
      </w:r>
      <w:r w:rsidR="001F2A6A">
        <w:t>.</w:t>
      </w:r>
    </w:p>
    <w:p w:rsidR="003F0A40" w:rsidRPr="00E3068F" w:rsidRDefault="003F0A40" w:rsidP="00936D4A">
      <w:pPr>
        <w:jc w:val="both"/>
        <w:rPr>
          <w:sz w:val="22"/>
          <w:lang w:val="en-GB" w:eastAsia="en-US"/>
        </w:rPr>
      </w:pPr>
    </w:p>
    <w:p w:rsidR="00035BE0" w:rsidRPr="00AB7D08" w:rsidRDefault="00035BE0" w:rsidP="00D87898">
      <w:pPr>
        <w:pStyle w:val="Heading3"/>
        <w:rPr>
          <w:lang w:val="en-GB"/>
        </w:rPr>
      </w:pPr>
      <w:bookmarkStart w:id="12" w:name="_Toc413051146"/>
      <w:bookmarkStart w:id="13" w:name="_Toc477338731"/>
      <w:r w:rsidRPr="00AB7D08">
        <w:rPr>
          <w:lang w:val="en-GB"/>
        </w:rPr>
        <w:t>Community Crime Prevention Framework</w:t>
      </w:r>
      <w:bookmarkEnd w:id="12"/>
      <w:bookmarkEnd w:id="13"/>
    </w:p>
    <w:p w:rsidR="00035BE0" w:rsidRDefault="00035BE0" w:rsidP="00936D4A">
      <w:pPr>
        <w:jc w:val="both"/>
      </w:pPr>
      <w:r w:rsidRPr="003D239A">
        <w:t xml:space="preserve">This framework </w:t>
      </w:r>
      <w:r w:rsidR="006033AA">
        <w:t xml:space="preserve">from the Department of Justice and Regulation </w:t>
      </w:r>
      <w:r w:rsidRPr="003D239A">
        <w:t>focuses on supporting local community crime pre</w:t>
      </w:r>
      <w:r w:rsidR="006B3FF5">
        <w:t>vention and outlines the State G</w:t>
      </w:r>
      <w:r w:rsidRPr="003D239A">
        <w:t xml:space="preserve">overnment strategic priorities. </w:t>
      </w:r>
    </w:p>
    <w:p w:rsidR="003F0A40" w:rsidRDefault="003F0A40" w:rsidP="00936D4A">
      <w:pPr>
        <w:jc w:val="both"/>
      </w:pPr>
    </w:p>
    <w:p w:rsidR="004A78B9" w:rsidRPr="00B00BD4" w:rsidRDefault="004A78B9" w:rsidP="00D87898">
      <w:pPr>
        <w:pStyle w:val="Heading3"/>
      </w:pPr>
      <w:bookmarkStart w:id="14" w:name="_Toc477338732"/>
      <w:r w:rsidRPr="00B00BD4">
        <w:rPr>
          <w:lang w:val="en-GB"/>
        </w:rPr>
        <w:t>Local Government Act (1989)</w:t>
      </w:r>
      <w:bookmarkEnd w:id="14"/>
    </w:p>
    <w:p w:rsidR="004A78B9" w:rsidRPr="00B00BD4" w:rsidRDefault="004A78B9" w:rsidP="004A78B9">
      <w:pPr>
        <w:jc w:val="both"/>
      </w:pPr>
      <w:r w:rsidRPr="00B00BD4">
        <w:t xml:space="preserve">The Local Government Act outlines that </w:t>
      </w:r>
      <w:bookmarkStart w:id="15" w:name="_Toc413051147"/>
      <w:r w:rsidRPr="00B00BD4">
        <w:t>Council must have regard to the following facilitating objectives (as applicable to this Strategy):</w:t>
      </w:r>
    </w:p>
    <w:p w:rsidR="004A78B9" w:rsidRPr="00B00BD4" w:rsidRDefault="004A78B9" w:rsidP="004A78B9">
      <w:pPr>
        <w:jc w:val="both"/>
      </w:pPr>
      <w:r w:rsidRPr="00B00BD4">
        <w:t xml:space="preserve">(a) </w:t>
      </w:r>
      <w:proofErr w:type="gramStart"/>
      <w:r w:rsidRPr="00B00BD4">
        <w:t>to</w:t>
      </w:r>
      <w:proofErr w:type="gramEnd"/>
      <w:r w:rsidRPr="00B00BD4">
        <w:t xml:space="preserve"> promote the social, economic and environmental viability and sustainability of</w:t>
      </w:r>
      <w:r w:rsidR="00FD04AD" w:rsidRPr="00B00BD4">
        <w:t xml:space="preserve"> the municipal district</w:t>
      </w:r>
    </w:p>
    <w:p w:rsidR="004A78B9" w:rsidRPr="00B00BD4" w:rsidRDefault="004A78B9" w:rsidP="004A78B9">
      <w:pPr>
        <w:jc w:val="both"/>
      </w:pPr>
      <w:r w:rsidRPr="00B00BD4">
        <w:t xml:space="preserve">(c) </w:t>
      </w:r>
      <w:proofErr w:type="gramStart"/>
      <w:r w:rsidRPr="00B00BD4">
        <w:t>to</w:t>
      </w:r>
      <w:proofErr w:type="gramEnd"/>
      <w:r w:rsidRPr="00B00BD4">
        <w:t xml:space="preserve"> improve the overall quality of life of </w:t>
      </w:r>
      <w:r w:rsidR="00FD04AD" w:rsidRPr="00B00BD4">
        <w:t>people in the local community</w:t>
      </w:r>
    </w:p>
    <w:p w:rsidR="004A78B9" w:rsidRPr="00B00BD4" w:rsidRDefault="004A78B9" w:rsidP="004A78B9">
      <w:pPr>
        <w:jc w:val="both"/>
      </w:pPr>
      <w:r w:rsidRPr="00B00BD4">
        <w:t xml:space="preserve">(d) </w:t>
      </w:r>
      <w:proofErr w:type="gramStart"/>
      <w:r w:rsidRPr="00B00BD4">
        <w:t>to</w:t>
      </w:r>
      <w:proofErr w:type="gramEnd"/>
      <w:r w:rsidRPr="00B00BD4">
        <w:t xml:space="preserve"> promote appropriate business and </w:t>
      </w:r>
      <w:r w:rsidR="00FD04AD" w:rsidRPr="00B00BD4">
        <w:t>employment opportunities</w:t>
      </w:r>
    </w:p>
    <w:p w:rsidR="004A78B9" w:rsidRPr="00B00BD4" w:rsidRDefault="00FD04AD" w:rsidP="004A78B9">
      <w:pPr>
        <w:jc w:val="both"/>
      </w:pPr>
      <w:r w:rsidRPr="00B00BD4">
        <w:t>T</w:t>
      </w:r>
      <w:r w:rsidR="004A78B9" w:rsidRPr="00B00BD4">
        <w:t>he role of a Council includes</w:t>
      </w:r>
      <w:r w:rsidRPr="00B00BD4">
        <w:t>:</w:t>
      </w:r>
    </w:p>
    <w:p w:rsidR="004A78B9" w:rsidRPr="00B00BD4" w:rsidRDefault="004A78B9" w:rsidP="004A78B9">
      <w:pPr>
        <w:jc w:val="both"/>
      </w:pPr>
      <w:r w:rsidRPr="00B00BD4">
        <w:t xml:space="preserve">(f) </w:t>
      </w:r>
      <w:proofErr w:type="gramStart"/>
      <w:r w:rsidRPr="00B00BD4">
        <w:t>fostering</w:t>
      </w:r>
      <w:proofErr w:type="gramEnd"/>
      <w:r w:rsidRPr="00B00BD4">
        <w:t xml:space="preserve"> community cohesion and encouraging active participation in civic life.</w:t>
      </w:r>
    </w:p>
    <w:p w:rsidR="004A78B9" w:rsidRPr="00B00BD4" w:rsidRDefault="004A78B9" w:rsidP="004A78B9">
      <w:pPr>
        <w:jc w:val="both"/>
      </w:pPr>
    </w:p>
    <w:p w:rsidR="00035BE0" w:rsidRPr="00B00BD4" w:rsidRDefault="00035BE0" w:rsidP="00D87898">
      <w:pPr>
        <w:pStyle w:val="Heading3"/>
        <w:rPr>
          <w:lang w:val="en-GB"/>
        </w:rPr>
      </w:pPr>
      <w:bookmarkStart w:id="16" w:name="_Toc477338733"/>
      <w:r w:rsidRPr="00B00BD4">
        <w:rPr>
          <w:lang w:val="en-GB"/>
        </w:rPr>
        <w:t>Local Area Community Safety Plan</w:t>
      </w:r>
      <w:bookmarkEnd w:id="15"/>
      <w:r w:rsidR="00286E54" w:rsidRPr="00B00BD4">
        <w:rPr>
          <w:lang w:val="en-GB"/>
        </w:rPr>
        <w:t xml:space="preserve"> (2012)</w:t>
      </w:r>
      <w:bookmarkEnd w:id="16"/>
    </w:p>
    <w:p w:rsidR="00035BE0" w:rsidRDefault="00035BE0" w:rsidP="00936D4A">
      <w:pPr>
        <w:jc w:val="both"/>
      </w:pPr>
      <w:r w:rsidRPr="00B00BD4">
        <w:t xml:space="preserve">In 2012, the North Metropolitan Regional Justice Reference group, a sub-committee of the North West Regional Management Forum, </w:t>
      </w:r>
      <w:r w:rsidR="00C23595" w:rsidRPr="00B00BD4">
        <w:t xml:space="preserve">in partnership with the Department of Justice and Regulation, </w:t>
      </w:r>
      <w:r w:rsidRPr="00B00BD4">
        <w:t xml:space="preserve">facilitated the development of a Local Area Community Safety Plan informed by local stakeholder consultations </w:t>
      </w:r>
      <w:r w:rsidR="00C23595" w:rsidRPr="00B00BD4">
        <w:t xml:space="preserve">which identified good practice examples of work </w:t>
      </w:r>
      <w:r w:rsidRPr="00B00BD4">
        <w:t>and key opportunities for action</w:t>
      </w:r>
      <w:r w:rsidR="00C23595" w:rsidRPr="00B00BD4">
        <w:t xml:space="preserve"> to address crime and community safety</w:t>
      </w:r>
      <w:r w:rsidRPr="00B00BD4">
        <w:t>.</w:t>
      </w:r>
      <w:r w:rsidRPr="003D239A">
        <w:t xml:space="preserve"> </w:t>
      </w:r>
    </w:p>
    <w:p w:rsidR="003F0A40" w:rsidRDefault="003F0A40" w:rsidP="00936D4A">
      <w:pPr>
        <w:jc w:val="both"/>
      </w:pPr>
    </w:p>
    <w:p w:rsidR="003830E8" w:rsidRPr="00C8133F" w:rsidRDefault="003830E8" w:rsidP="00D87898">
      <w:pPr>
        <w:pStyle w:val="Heading3"/>
        <w:rPr>
          <w:lang w:val="en-GB"/>
        </w:rPr>
      </w:pPr>
      <w:bookmarkStart w:id="17" w:name="_Toc477338734"/>
      <w:r w:rsidRPr="00C8133F">
        <w:rPr>
          <w:lang w:val="en-GB"/>
        </w:rPr>
        <w:t xml:space="preserve">City of </w:t>
      </w:r>
      <w:proofErr w:type="spellStart"/>
      <w:r w:rsidRPr="00C8133F">
        <w:rPr>
          <w:lang w:val="en-GB"/>
        </w:rPr>
        <w:t>Whittlesea</w:t>
      </w:r>
      <w:proofErr w:type="spellEnd"/>
      <w:r w:rsidRPr="00C8133F">
        <w:rPr>
          <w:lang w:val="en-GB"/>
        </w:rPr>
        <w:t xml:space="preserve"> Community Building Policy</w:t>
      </w:r>
      <w:bookmarkEnd w:id="17"/>
    </w:p>
    <w:p w:rsidR="003830E8" w:rsidRDefault="003830E8" w:rsidP="00936D4A">
      <w:pPr>
        <w:jc w:val="both"/>
        <w:rPr>
          <w:lang w:eastAsia="en-US"/>
        </w:rPr>
      </w:pPr>
      <w:r>
        <w:rPr>
          <w:lang w:eastAsia="en-US"/>
        </w:rPr>
        <w:t>Community Building actively fosters strong, resilient and connected communities, amplifies local community voices, and enhances the capacity of communities and individuals to achieve their goals.  A community building approach requires people, groups and organisations to work together to build connections, understanding and confidence.  This enables shared identifies and aspirations to emerge and builds a sense of collective responsibility for community wellbeing.</w:t>
      </w:r>
    </w:p>
    <w:p w:rsidR="00936D4A" w:rsidRDefault="00936D4A">
      <w:pPr>
        <w:rPr>
          <w:lang w:eastAsia="en-US"/>
        </w:rPr>
      </w:pPr>
    </w:p>
    <w:p w:rsidR="00035BE0" w:rsidRDefault="00035BE0" w:rsidP="00D87898">
      <w:pPr>
        <w:pStyle w:val="Heading3"/>
        <w:rPr>
          <w:lang w:val="en-GB"/>
        </w:rPr>
      </w:pPr>
      <w:bookmarkStart w:id="18" w:name="_Toc413051148"/>
      <w:bookmarkStart w:id="19" w:name="_Toc477338735"/>
      <w:r>
        <w:rPr>
          <w:lang w:val="en-GB"/>
        </w:rPr>
        <w:t xml:space="preserve">City of </w:t>
      </w:r>
      <w:proofErr w:type="spellStart"/>
      <w:r>
        <w:rPr>
          <w:lang w:val="en-GB"/>
        </w:rPr>
        <w:t>Whittlesea</w:t>
      </w:r>
      <w:proofErr w:type="spellEnd"/>
      <w:r>
        <w:rPr>
          <w:lang w:val="en-GB"/>
        </w:rPr>
        <w:t xml:space="preserve"> Council Plan &amp; Municipal Public Health and Wellbeing Plan 2013-2017</w:t>
      </w:r>
      <w:bookmarkEnd w:id="18"/>
      <w:bookmarkEnd w:id="19"/>
    </w:p>
    <w:p w:rsidR="00561CBB" w:rsidRDefault="00561CBB" w:rsidP="00936D4A">
      <w:pPr>
        <w:jc w:val="both"/>
        <w:rPr>
          <w:lang w:val="en"/>
        </w:rPr>
      </w:pPr>
      <w:r w:rsidRPr="00561CBB">
        <w:rPr>
          <w:lang w:val="en-US"/>
        </w:rPr>
        <w:t>Local government plays a key role in creating the environment which supports</w:t>
      </w:r>
      <w:r w:rsidRPr="00561CBB">
        <w:rPr>
          <w:lang w:val="en"/>
        </w:rPr>
        <w:t xml:space="preserve"> health and wellbeing. </w:t>
      </w:r>
      <w:r w:rsidRPr="00561CBB">
        <w:rPr>
          <w:lang w:val="en-US"/>
        </w:rPr>
        <w:t xml:space="preserve">The Public Health and Wellbeing Act 2008 requires councils to prepare a four-year municipal </w:t>
      </w:r>
      <w:r>
        <w:rPr>
          <w:lang w:val="en-US"/>
        </w:rPr>
        <w:t xml:space="preserve">public </w:t>
      </w:r>
      <w:r w:rsidRPr="00561CBB">
        <w:rPr>
          <w:lang w:val="en-US"/>
        </w:rPr>
        <w:t xml:space="preserve">health and wellbeing plan which sets </w:t>
      </w:r>
      <w:r w:rsidRPr="00561CBB">
        <w:rPr>
          <w:lang w:val="en"/>
        </w:rPr>
        <w:t xml:space="preserve">goals and priorities to enable people living in the municipality to achieve maximum health and wellbeing. </w:t>
      </w:r>
      <w:r>
        <w:rPr>
          <w:lang w:val="en"/>
        </w:rPr>
        <w:t xml:space="preserve"> </w:t>
      </w:r>
      <w:r w:rsidR="00FA1D09">
        <w:rPr>
          <w:lang w:val="en"/>
        </w:rPr>
        <w:t>Feeling safe in the community enhances social connection and trust and improves health and wellbeing outcomes.</w:t>
      </w:r>
    </w:p>
    <w:p w:rsidR="00FA1D09" w:rsidRDefault="00FA1D09" w:rsidP="00936D4A">
      <w:pPr>
        <w:jc w:val="both"/>
        <w:rPr>
          <w:lang w:val="en"/>
        </w:rPr>
      </w:pPr>
    </w:p>
    <w:p w:rsidR="00035BE0" w:rsidRPr="003D239A" w:rsidRDefault="00FA1D09" w:rsidP="00936D4A">
      <w:pPr>
        <w:jc w:val="both"/>
        <w:rPr>
          <w:b/>
        </w:rPr>
      </w:pPr>
      <w:r>
        <w:rPr>
          <w:lang w:val="en"/>
        </w:rPr>
        <w:t xml:space="preserve">The Council Plan and Municipal Public Health and Wellbeing Plan 2013-2017 outlines the </w:t>
      </w:r>
      <w:r w:rsidR="00035BE0" w:rsidRPr="003D239A">
        <w:rPr>
          <w:b/>
        </w:rPr>
        <w:t>Council Goal 5.3</w:t>
      </w:r>
      <w:r>
        <w:rPr>
          <w:b/>
        </w:rPr>
        <w:t xml:space="preserve"> </w:t>
      </w:r>
      <w:r w:rsidR="00035BE0" w:rsidRPr="000814FE">
        <w:rPr>
          <w:i/>
        </w:rPr>
        <w:t>Council will support action to increase community safety, enhance perceptions of community safety and prevent crime across the municipality</w:t>
      </w:r>
      <w:r>
        <w:t xml:space="preserve"> and; </w:t>
      </w:r>
      <w:r w:rsidR="00035BE0" w:rsidRPr="003D239A">
        <w:rPr>
          <w:b/>
        </w:rPr>
        <w:t xml:space="preserve">Actions: </w:t>
      </w:r>
    </w:p>
    <w:p w:rsidR="00035BE0" w:rsidRPr="001F2A6A" w:rsidRDefault="00035BE0" w:rsidP="00936D4A">
      <w:pPr>
        <w:pStyle w:val="ListParagraph"/>
        <w:numPr>
          <w:ilvl w:val="0"/>
          <w:numId w:val="4"/>
        </w:numPr>
        <w:jc w:val="both"/>
        <w:rPr>
          <w:rFonts w:eastAsia="Times New Roman"/>
          <w:b w:val="0"/>
        </w:rPr>
      </w:pPr>
      <w:r w:rsidRPr="001F2A6A">
        <w:rPr>
          <w:rFonts w:eastAsia="Times New Roman"/>
          <w:b w:val="0"/>
        </w:rPr>
        <w:t xml:space="preserve">Partner with Victoria Police to establish a local community Safety Committee </w:t>
      </w:r>
    </w:p>
    <w:p w:rsidR="00035BE0" w:rsidRDefault="00035BE0" w:rsidP="00936D4A">
      <w:pPr>
        <w:pStyle w:val="ListParagraph"/>
        <w:numPr>
          <w:ilvl w:val="0"/>
          <w:numId w:val="4"/>
        </w:numPr>
        <w:jc w:val="both"/>
        <w:rPr>
          <w:rFonts w:eastAsia="Times New Roman"/>
          <w:b w:val="0"/>
        </w:rPr>
      </w:pPr>
      <w:proofErr w:type="spellStart"/>
      <w:r w:rsidRPr="001F2A6A">
        <w:rPr>
          <w:rFonts w:eastAsia="Times New Roman"/>
          <w:b w:val="0"/>
        </w:rPr>
        <w:t>Prioritise</w:t>
      </w:r>
      <w:proofErr w:type="spellEnd"/>
      <w:r w:rsidRPr="001F2A6A">
        <w:rPr>
          <w:rFonts w:eastAsia="Times New Roman"/>
          <w:b w:val="0"/>
        </w:rPr>
        <w:t xml:space="preserve"> opportunities in Local Area Community Safety Profile with a focus on social prevention and Crime Prevention Through Environmental Design (CPTED) in partnership with the Department of Justice</w:t>
      </w:r>
    </w:p>
    <w:p w:rsidR="00C419A6" w:rsidRPr="00C419A6" w:rsidRDefault="00C419A6" w:rsidP="00C419A6">
      <w:pPr>
        <w:jc w:val="both"/>
      </w:pPr>
    </w:p>
    <w:p w:rsidR="00035BE0" w:rsidRDefault="00035BE0" w:rsidP="00D87898">
      <w:pPr>
        <w:pStyle w:val="Heading2"/>
      </w:pPr>
      <w:bookmarkStart w:id="20" w:name="_Toc477338736"/>
      <w:r>
        <w:t>City of Whittlesea policy links</w:t>
      </w:r>
      <w:bookmarkEnd w:id="20"/>
    </w:p>
    <w:p w:rsidR="009B0503" w:rsidRDefault="009B0503" w:rsidP="00737DAA">
      <w:pPr>
        <w:pStyle w:val="ListParagraph"/>
        <w:numPr>
          <w:ilvl w:val="0"/>
          <w:numId w:val="1"/>
        </w:numPr>
        <w:jc w:val="both"/>
        <w:rPr>
          <w:b w:val="0"/>
        </w:rPr>
      </w:pPr>
      <w:r>
        <w:rPr>
          <w:b w:val="0"/>
        </w:rPr>
        <w:t>Draft Advocacy Strategy (2016)</w:t>
      </w:r>
    </w:p>
    <w:p w:rsidR="004B0A5D" w:rsidRPr="007A44CE" w:rsidRDefault="004B0A5D" w:rsidP="00737DAA">
      <w:pPr>
        <w:pStyle w:val="ListParagraph"/>
        <w:numPr>
          <w:ilvl w:val="0"/>
          <w:numId w:val="1"/>
        </w:numPr>
        <w:jc w:val="both"/>
        <w:rPr>
          <w:b w:val="0"/>
        </w:rPr>
      </w:pPr>
      <w:r w:rsidRPr="007A44CE">
        <w:rPr>
          <w:b w:val="0"/>
        </w:rPr>
        <w:t>Anti-Racism Policy and Strategy (2015-2019)</w:t>
      </w:r>
    </w:p>
    <w:p w:rsidR="004B0A5D" w:rsidRPr="007A44CE" w:rsidRDefault="004B0A5D" w:rsidP="00737DAA">
      <w:pPr>
        <w:pStyle w:val="ListParagraph"/>
        <w:numPr>
          <w:ilvl w:val="0"/>
          <w:numId w:val="1"/>
        </w:numPr>
        <w:jc w:val="both"/>
        <w:rPr>
          <w:b w:val="0"/>
        </w:rPr>
      </w:pPr>
      <w:r w:rsidRPr="007A44CE">
        <w:rPr>
          <w:b w:val="0"/>
        </w:rPr>
        <w:t>Community Building Policy and Strategy (2016)</w:t>
      </w:r>
    </w:p>
    <w:p w:rsidR="004B0A5D" w:rsidRPr="007A44CE" w:rsidRDefault="004B0A5D" w:rsidP="00737DAA">
      <w:pPr>
        <w:pStyle w:val="ListParagraph"/>
        <w:numPr>
          <w:ilvl w:val="0"/>
          <w:numId w:val="1"/>
        </w:numPr>
        <w:jc w:val="both"/>
        <w:rPr>
          <w:b w:val="0"/>
        </w:rPr>
      </w:pPr>
      <w:r w:rsidRPr="007A44CE">
        <w:rPr>
          <w:b w:val="0"/>
        </w:rPr>
        <w:t>Community Safety and Crime Prevention Policy (2016)</w:t>
      </w:r>
    </w:p>
    <w:p w:rsidR="004B0A5D" w:rsidRPr="007A44CE" w:rsidRDefault="004B0A5D" w:rsidP="00737DAA">
      <w:pPr>
        <w:pStyle w:val="ListParagraph"/>
        <w:numPr>
          <w:ilvl w:val="0"/>
          <w:numId w:val="1"/>
        </w:numPr>
        <w:jc w:val="both"/>
        <w:rPr>
          <w:b w:val="0"/>
        </w:rPr>
      </w:pPr>
      <w:r w:rsidRPr="007A44CE">
        <w:rPr>
          <w:b w:val="0"/>
        </w:rPr>
        <w:t xml:space="preserve">Connect A municipal plan for children, young people and their families in the City of </w:t>
      </w:r>
      <w:proofErr w:type="spellStart"/>
      <w:r w:rsidRPr="007A44CE">
        <w:rPr>
          <w:b w:val="0"/>
        </w:rPr>
        <w:t>Whittlesea</w:t>
      </w:r>
      <w:proofErr w:type="spellEnd"/>
      <w:r w:rsidRPr="007A44CE">
        <w:rPr>
          <w:b w:val="0"/>
        </w:rPr>
        <w:t xml:space="preserve"> (2013 to 2018)</w:t>
      </w:r>
    </w:p>
    <w:p w:rsidR="004B0A5D" w:rsidRPr="007A44CE" w:rsidRDefault="004B0A5D" w:rsidP="00737DAA">
      <w:pPr>
        <w:pStyle w:val="ListParagraph"/>
        <w:numPr>
          <w:ilvl w:val="0"/>
          <w:numId w:val="1"/>
        </w:numPr>
        <w:jc w:val="both"/>
        <w:rPr>
          <w:b w:val="0"/>
        </w:rPr>
      </w:pPr>
      <w:r w:rsidRPr="007A44CE">
        <w:rPr>
          <w:b w:val="0"/>
        </w:rPr>
        <w:t>Family Violence Strategy (2014-2018)</w:t>
      </w:r>
    </w:p>
    <w:p w:rsidR="004B0A5D" w:rsidRPr="007A44CE" w:rsidRDefault="004B0A5D" w:rsidP="00737DAA">
      <w:pPr>
        <w:pStyle w:val="ListParagraph"/>
        <w:numPr>
          <w:ilvl w:val="0"/>
          <w:numId w:val="1"/>
        </w:numPr>
        <w:jc w:val="both"/>
        <w:rPr>
          <w:b w:val="0"/>
        </w:rPr>
      </w:pPr>
      <w:r w:rsidRPr="007A44CE">
        <w:rPr>
          <w:b w:val="0"/>
        </w:rPr>
        <w:t>Gambling Strategy (2014-2024)</w:t>
      </w:r>
    </w:p>
    <w:p w:rsidR="004B0A5D" w:rsidRPr="007A44CE" w:rsidRDefault="004B0A5D" w:rsidP="00737DAA">
      <w:pPr>
        <w:pStyle w:val="ListParagraph"/>
        <w:numPr>
          <w:ilvl w:val="0"/>
          <w:numId w:val="1"/>
        </w:numPr>
        <w:jc w:val="both"/>
        <w:rPr>
          <w:b w:val="0"/>
        </w:rPr>
      </w:pPr>
      <w:r w:rsidRPr="007A44CE">
        <w:rPr>
          <w:b w:val="0"/>
        </w:rPr>
        <w:t>Growing Our Economy (in development)</w:t>
      </w:r>
    </w:p>
    <w:p w:rsidR="004B0A5D" w:rsidRPr="007A44CE" w:rsidRDefault="004B0A5D" w:rsidP="00737DAA">
      <w:pPr>
        <w:pStyle w:val="ListParagraph"/>
        <w:numPr>
          <w:ilvl w:val="0"/>
          <w:numId w:val="1"/>
        </w:numPr>
        <w:jc w:val="both"/>
        <w:rPr>
          <w:b w:val="0"/>
        </w:rPr>
      </w:pPr>
      <w:r w:rsidRPr="007A44CE">
        <w:rPr>
          <w:b w:val="0"/>
        </w:rPr>
        <w:t>Open Space Strategy (2026)</w:t>
      </w:r>
    </w:p>
    <w:p w:rsidR="004B0A5D" w:rsidRPr="007A44CE" w:rsidRDefault="004B0A5D" w:rsidP="00737DAA">
      <w:pPr>
        <w:pStyle w:val="ListParagraph"/>
        <w:numPr>
          <w:ilvl w:val="0"/>
          <w:numId w:val="1"/>
        </w:numPr>
        <w:jc w:val="both"/>
        <w:rPr>
          <w:b w:val="0"/>
        </w:rPr>
      </w:pPr>
      <w:r w:rsidRPr="007A44CE">
        <w:rPr>
          <w:b w:val="0"/>
        </w:rPr>
        <w:t xml:space="preserve">Preventing Alcohol Related Harm in the City of </w:t>
      </w:r>
      <w:proofErr w:type="spellStart"/>
      <w:r w:rsidRPr="007A44CE">
        <w:rPr>
          <w:b w:val="0"/>
        </w:rPr>
        <w:t>Whittlesea</w:t>
      </w:r>
      <w:proofErr w:type="spellEnd"/>
      <w:r w:rsidRPr="007A44CE">
        <w:rPr>
          <w:b w:val="0"/>
        </w:rPr>
        <w:t xml:space="preserve"> Policy and Action Plan (2016)</w:t>
      </w:r>
    </w:p>
    <w:p w:rsidR="004B0A5D" w:rsidRPr="007A44CE" w:rsidRDefault="004B0A5D" w:rsidP="00737DAA">
      <w:pPr>
        <w:pStyle w:val="ListParagraph"/>
        <w:numPr>
          <w:ilvl w:val="0"/>
          <w:numId w:val="1"/>
        </w:numPr>
        <w:jc w:val="both"/>
        <w:rPr>
          <w:b w:val="0"/>
        </w:rPr>
      </w:pPr>
      <w:r w:rsidRPr="007A44CE">
        <w:rPr>
          <w:b w:val="0"/>
        </w:rPr>
        <w:t>Road Safety Strategy (in development)</w:t>
      </w:r>
    </w:p>
    <w:p w:rsidR="004B0A5D" w:rsidRPr="007A44CE" w:rsidRDefault="004B0A5D" w:rsidP="00737DAA">
      <w:pPr>
        <w:pStyle w:val="ListParagraph"/>
        <w:numPr>
          <w:ilvl w:val="0"/>
          <w:numId w:val="1"/>
        </w:numPr>
        <w:jc w:val="both"/>
        <w:rPr>
          <w:b w:val="0"/>
        </w:rPr>
      </w:pPr>
      <w:r w:rsidRPr="007A44CE">
        <w:rPr>
          <w:b w:val="0"/>
        </w:rPr>
        <w:t>Social and Affordable Housing Policy and Strategy (2012-2016)</w:t>
      </w:r>
    </w:p>
    <w:p w:rsidR="004B0A5D" w:rsidRDefault="004B0A5D" w:rsidP="00737DAA">
      <w:pPr>
        <w:pStyle w:val="ListParagraph"/>
        <w:numPr>
          <w:ilvl w:val="0"/>
          <w:numId w:val="1"/>
        </w:numPr>
        <w:jc w:val="both"/>
        <w:rPr>
          <w:b w:val="0"/>
        </w:rPr>
      </w:pPr>
      <w:r w:rsidRPr="007A44CE">
        <w:rPr>
          <w:b w:val="0"/>
        </w:rPr>
        <w:t>Spaces 8 to</w:t>
      </w:r>
      <w:r>
        <w:rPr>
          <w:b w:val="0"/>
        </w:rPr>
        <w:t xml:space="preserve"> 12+ (2013-2018)</w:t>
      </w:r>
    </w:p>
    <w:p w:rsidR="004B0A5D" w:rsidRDefault="004B0A5D" w:rsidP="00737DAA">
      <w:pPr>
        <w:pStyle w:val="ListParagraph"/>
        <w:numPr>
          <w:ilvl w:val="0"/>
          <w:numId w:val="1"/>
        </w:numPr>
        <w:jc w:val="both"/>
        <w:rPr>
          <w:b w:val="0"/>
        </w:rPr>
      </w:pPr>
      <w:r>
        <w:rPr>
          <w:b w:val="0"/>
        </w:rPr>
        <w:t>Youth Plan (2030)</w:t>
      </w:r>
    </w:p>
    <w:p w:rsidR="003D239A" w:rsidRDefault="003D239A">
      <w:r>
        <w:br w:type="page"/>
      </w:r>
    </w:p>
    <w:p w:rsidR="009B0503" w:rsidRPr="006C2996" w:rsidRDefault="009B0503" w:rsidP="00D87898">
      <w:pPr>
        <w:pStyle w:val="Heading2"/>
      </w:pPr>
      <w:bookmarkStart w:id="21" w:name="_Toc477338737"/>
      <w:r w:rsidRPr="006C2996">
        <w:t>Community Safety and Crime Prevention Policy</w:t>
      </w:r>
      <w:bookmarkEnd w:id="21"/>
      <w:r w:rsidRPr="006C2996">
        <w:t xml:space="preserve"> </w:t>
      </w:r>
    </w:p>
    <w:p w:rsidR="002B05EA" w:rsidRPr="006C2996" w:rsidRDefault="00B62B13" w:rsidP="00D87898">
      <w:pPr>
        <w:pStyle w:val="Heading3"/>
      </w:pPr>
      <w:bookmarkStart w:id="22" w:name="_Toc477338738"/>
      <w:r>
        <w:t>Policy s</w:t>
      </w:r>
      <w:r w:rsidR="002B05EA" w:rsidRPr="006C2996">
        <w:t>tatement</w:t>
      </w:r>
      <w:bookmarkEnd w:id="22"/>
    </w:p>
    <w:p w:rsidR="002B05EA" w:rsidRPr="002B05EA" w:rsidRDefault="002B05EA" w:rsidP="002B05EA">
      <w:pPr>
        <w:spacing w:before="120" w:after="120"/>
        <w:jc w:val="both"/>
        <w:rPr>
          <w:highlight w:val="yellow"/>
        </w:rPr>
      </w:pPr>
      <w:r w:rsidRPr="002B05EA">
        <w:rPr>
          <w:rFonts w:ascii="Arial" w:hAnsi="Arial" w:cs="Arial"/>
          <w:sz w:val="22"/>
          <w:szCs w:val="20"/>
          <w:lang w:val="en-GB" w:eastAsia="en-US"/>
        </w:rPr>
        <w:t xml:space="preserve">The City of </w:t>
      </w:r>
      <w:proofErr w:type="spellStart"/>
      <w:r w:rsidRPr="002B05EA">
        <w:rPr>
          <w:rFonts w:ascii="Arial" w:hAnsi="Arial" w:cs="Arial"/>
          <w:sz w:val="22"/>
          <w:szCs w:val="20"/>
          <w:lang w:val="en-GB" w:eastAsia="en-US"/>
        </w:rPr>
        <w:t>Whittlesea</w:t>
      </w:r>
      <w:proofErr w:type="spellEnd"/>
      <w:r w:rsidRPr="002B05EA">
        <w:rPr>
          <w:rFonts w:ascii="Arial" w:hAnsi="Arial" w:cs="Arial"/>
          <w:sz w:val="22"/>
          <w:szCs w:val="20"/>
          <w:lang w:val="en-GB" w:eastAsia="en-US"/>
        </w:rPr>
        <w:t xml:space="preserve"> is committed to working in partnership to improve community perceptions of safety and support crime prevention activities locally to strengthen community and social connectedness. </w:t>
      </w:r>
    </w:p>
    <w:p w:rsidR="009B0503" w:rsidRPr="006C2996" w:rsidRDefault="009B0503" w:rsidP="00D87898">
      <w:pPr>
        <w:pStyle w:val="Heading3"/>
      </w:pPr>
      <w:bookmarkStart w:id="23" w:name="_Toc477338739"/>
      <w:r w:rsidRPr="006C2996">
        <w:t>Policy principles</w:t>
      </w:r>
      <w:r w:rsidR="00440589" w:rsidRPr="006C2996">
        <w:rPr>
          <w:rStyle w:val="EndnoteReference"/>
          <w:color w:val="072B61"/>
          <w:sz w:val="36"/>
        </w:rPr>
        <w:endnoteReference w:id="1"/>
      </w:r>
      <w:bookmarkEnd w:id="23"/>
    </w:p>
    <w:p w:rsidR="009B0503" w:rsidRPr="006C2996" w:rsidRDefault="009B0503" w:rsidP="009B0503">
      <w:pPr>
        <w:pStyle w:val="Body"/>
        <w:spacing w:before="240" w:after="240"/>
        <w:jc w:val="both"/>
        <w:rPr>
          <w:rFonts w:ascii="Arial" w:hAnsi="Arial" w:cs="Arial"/>
          <w:sz w:val="22"/>
        </w:rPr>
      </w:pPr>
      <w:r w:rsidRPr="006C2996">
        <w:rPr>
          <w:rFonts w:ascii="Arial" w:hAnsi="Arial" w:cs="Arial"/>
          <w:b/>
          <w:sz w:val="22"/>
        </w:rPr>
        <w:t>Evidence</w:t>
      </w:r>
      <w:r w:rsidRPr="006C2996">
        <w:rPr>
          <w:rFonts w:ascii="Arial" w:hAnsi="Arial" w:cs="Arial"/>
          <w:sz w:val="22"/>
        </w:rPr>
        <w:t xml:space="preserve"> Council planning is responsive to community needs and the local context and is informed by evidence and good practice models.</w:t>
      </w:r>
    </w:p>
    <w:p w:rsidR="009B0503" w:rsidRPr="006C2996" w:rsidRDefault="009B0503" w:rsidP="009B0503">
      <w:pPr>
        <w:pStyle w:val="Body"/>
        <w:spacing w:after="240"/>
        <w:jc w:val="both"/>
        <w:rPr>
          <w:rFonts w:ascii="Arial" w:hAnsi="Arial" w:cs="Arial"/>
          <w:sz w:val="22"/>
        </w:rPr>
      </w:pPr>
      <w:r w:rsidRPr="006C2996">
        <w:rPr>
          <w:rFonts w:ascii="Arial" w:hAnsi="Arial" w:cs="Arial"/>
          <w:b/>
          <w:sz w:val="22"/>
        </w:rPr>
        <w:t>Partnerships</w:t>
      </w:r>
      <w:r w:rsidRPr="006C2996">
        <w:rPr>
          <w:rFonts w:ascii="Arial" w:hAnsi="Arial" w:cs="Arial"/>
          <w:sz w:val="22"/>
        </w:rPr>
        <w:t xml:space="preserve"> An integrated collaborative approach to planning across Council Departments, community organisations and the community with a broad range of relevant stakeholders is required to </w:t>
      </w:r>
      <w:proofErr w:type="gramStart"/>
      <w:r w:rsidRPr="006C2996">
        <w:rPr>
          <w:rFonts w:ascii="Arial" w:hAnsi="Arial" w:cs="Arial"/>
          <w:sz w:val="22"/>
        </w:rPr>
        <w:t>effect</w:t>
      </w:r>
      <w:proofErr w:type="gramEnd"/>
      <w:r w:rsidRPr="006C2996">
        <w:rPr>
          <w:rFonts w:ascii="Arial" w:hAnsi="Arial" w:cs="Arial"/>
          <w:sz w:val="22"/>
        </w:rPr>
        <w:t xml:space="preserve"> positive community outcomes.  This will include but not be limited to Council Departments, residents, community organisations, Victoria Police and the Community Safety and Crime Prevention Committee. </w:t>
      </w:r>
    </w:p>
    <w:p w:rsidR="009B0503" w:rsidRPr="006C2996" w:rsidRDefault="009B0503" w:rsidP="009B0503">
      <w:pPr>
        <w:pStyle w:val="Body"/>
        <w:spacing w:after="240"/>
        <w:jc w:val="both"/>
        <w:rPr>
          <w:rFonts w:ascii="Arial" w:hAnsi="Arial" w:cs="Arial"/>
          <w:sz w:val="22"/>
        </w:rPr>
      </w:pPr>
      <w:r w:rsidRPr="006C2996">
        <w:rPr>
          <w:rFonts w:ascii="Arial" w:hAnsi="Arial" w:cs="Arial"/>
          <w:b/>
          <w:sz w:val="22"/>
        </w:rPr>
        <w:t>Prevention</w:t>
      </w:r>
      <w:r w:rsidRPr="006C2996">
        <w:rPr>
          <w:rFonts w:ascii="Arial" w:hAnsi="Arial" w:cs="Arial"/>
          <w:sz w:val="22"/>
        </w:rPr>
        <w:t xml:space="preserve"> Council has a focus on crime prevention.  This requires a multi-level, (individual, organisational, community) multi-strategy approach and a focus on specific settings.</w:t>
      </w:r>
      <w:r w:rsidR="000F53BB">
        <w:rPr>
          <w:rFonts w:ascii="Arial" w:hAnsi="Arial" w:cs="Arial"/>
          <w:sz w:val="22"/>
        </w:rPr>
        <w:t xml:space="preserve">  </w:t>
      </w:r>
    </w:p>
    <w:p w:rsidR="009B0503" w:rsidRPr="006C2996" w:rsidRDefault="009B0503" w:rsidP="009B0503">
      <w:pPr>
        <w:pStyle w:val="Body"/>
        <w:spacing w:after="240"/>
        <w:jc w:val="both"/>
        <w:rPr>
          <w:rFonts w:ascii="Arial" w:hAnsi="Arial" w:cs="Arial"/>
          <w:b/>
          <w:sz w:val="22"/>
        </w:rPr>
      </w:pPr>
      <w:r w:rsidRPr="006C2996">
        <w:rPr>
          <w:rFonts w:ascii="Arial" w:hAnsi="Arial" w:cs="Arial"/>
          <w:b/>
          <w:sz w:val="22"/>
        </w:rPr>
        <w:t xml:space="preserve">Consultation &amp; engagement </w:t>
      </w:r>
      <w:r w:rsidRPr="006C2996">
        <w:rPr>
          <w:rFonts w:ascii="Arial" w:hAnsi="Arial" w:cs="Arial"/>
          <w:sz w:val="22"/>
        </w:rPr>
        <w:t>Planning is informed through engagement with a broad range of stakeholders, at the local level in key settings, to develop responsive relevant approaches which reflect community needs.</w:t>
      </w:r>
    </w:p>
    <w:p w:rsidR="009B0503" w:rsidRPr="006C2996" w:rsidRDefault="009B0503" w:rsidP="009B0503">
      <w:pPr>
        <w:pStyle w:val="Body"/>
        <w:spacing w:after="240"/>
        <w:jc w:val="both"/>
        <w:rPr>
          <w:rFonts w:ascii="Arial" w:hAnsi="Arial" w:cs="Arial"/>
          <w:sz w:val="22"/>
        </w:rPr>
      </w:pPr>
      <w:r w:rsidRPr="006C2996">
        <w:rPr>
          <w:rFonts w:ascii="Arial" w:hAnsi="Arial" w:cs="Arial"/>
          <w:b/>
          <w:sz w:val="22"/>
        </w:rPr>
        <w:t xml:space="preserve">Advocacy </w:t>
      </w:r>
      <w:r w:rsidRPr="006C2996">
        <w:rPr>
          <w:rFonts w:ascii="Arial" w:hAnsi="Arial" w:cs="Arial"/>
          <w:sz w:val="22"/>
        </w:rPr>
        <w:t>Council in partnership with the Community Safety and Crime Prevention Committee and other stakeholders as determined will advocate for a police presence, justice and corrections services and improved community safety outcomes for the community.</w:t>
      </w:r>
    </w:p>
    <w:p w:rsidR="009B0503" w:rsidRPr="00C40429" w:rsidRDefault="009B0503" w:rsidP="009B0503">
      <w:pPr>
        <w:pStyle w:val="Body"/>
        <w:spacing w:after="240"/>
        <w:jc w:val="both"/>
        <w:rPr>
          <w:rFonts w:ascii="Arial" w:hAnsi="Arial" w:cs="Arial"/>
          <w:sz w:val="22"/>
        </w:rPr>
      </w:pPr>
      <w:r w:rsidRPr="006C2996">
        <w:rPr>
          <w:rFonts w:ascii="Arial" w:hAnsi="Arial" w:cs="Arial"/>
          <w:b/>
          <w:sz w:val="22"/>
        </w:rPr>
        <w:t xml:space="preserve">Integrated planning </w:t>
      </w:r>
      <w:proofErr w:type="gramStart"/>
      <w:r w:rsidRPr="006C2996">
        <w:rPr>
          <w:rFonts w:ascii="Arial" w:hAnsi="Arial" w:cs="Arial"/>
          <w:sz w:val="22"/>
        </w:rPr>
        <w:t>Integrated</w:t>
      </w:r>
      <w:proofErr w:type="gramEnd"/>
      <w:r w:rsidRPr="006C2996">
        <w:rPr>
          <w:rFonts w:ascii="Arial" w:hAnsi="Arial" w:cs="Arial"/>
          <w:sz w:val="22"/>
        </w:rPr>
        <w:t xml:space="preserve"> planning and advocacy will support shared outcomes across Council priorities including Family Violence, Community Building and Prevention of Alcohol related Harm.</w:t>
      </w:r>
    </w:p>
    <w:p w:rsidR="009B0503" w:rsidRDefault="009B0503">
      <w:r>
        <w:br w:type="page"/>
      </w:r>
    </w:p>
    <w:p w:rsidR="003A5D30" w:rsidRDefault="003A5D30" w:rsidP="00D87898">
      <w:pPr>
        <w:pStyle w:val="Heading2"/>
      </w:pPr>
      <w:bookmarkStart w:id="24" w:name="_Toc477338740"/>
      <w:r>
        <w:t>Demographics</w:t>
      </w:r>
      <w:bookmarkEnd w:id="24"/>
    </w:p>
    <w:p w:rsidR="003A5D30" w:rsidRDefault="003A5D30" w:rsidP="004C50DB">
      <w:pPr>
        <w:jc w:val="both"/>
      </w:pPr>
      <w:r w:rsidRPr="00910392">
        <w:t xml:space="preserve">The City of Whittlesea is one of the fastest </w:t>
      </w:r>
      <w:r w:rsidRPr="007A44CE">
        <w:t xml:space="preserve">growing </w:t>
      </w:r>
      <w:r w:rsidR="008E61FB" w:rsidRPr="007A44CE">
        <w:t xml:space="preserve">and culturally diverse </w:t>
      </w:r>
      <w:r w:rsidRPr="007A44CE">
        <w:t xml:space="preserve">municipalities in Australia. </w:t>
      </w:r>
      <w:r w:rsidR="00DB213C" w:rsidRPr="007A44CE">
        <w:t xml:space="preserve"> </w:t>
      </w:r>
      <w:r w:rsidR="00F6731F" w:rsidRPr="007A44CE">
        <w:t>The current estimated resident</w:t>
      </w:r>
      <w:r w:rsidR="0009087E" w:rsidRPr="007A44CE">
        <w:t>ial</w:t>
      </w:r>
      <w:r w:rsidR="0009087E">
        <w:t xml:space="preserve"> population is </w:t>
      </w:r>
      <w:r w:rsidR="002209B5">
        <w:t>over 200,000</w:t>
      </w:r>
      <w:r w:rsidR="0009087E">
        <w:t xml:space="preserve"> (</w:t>
      </w:r>
      <w:r w:rsidR="0009087E" w:rsidRPr="0009087E">
        <w:t>50.4%</w:t>
      </w:r>
      <w:r w:rsidR="0009087E">
        <w:t xml:space="preserve"> female)</w:t>
      </w:r>
      <w:r w:rsidR="00F6731F" w:rsidRPr="00F6731F">
        <w:t xml:space="preserve"> which is expected to grow substantially by 2035 to 328,393 (an increase of 68.8%).</w:t>
      </w:r>
      <w:r w:rsidR="00F6731F">
        <w:rPr>
          <w:rStyle w:val="EndnoteReference"/>
        </w:rPr>
        <w:endnoteReference w:id="2"/>
      </w:r>
    </w:p>
    <w:p w:rsidR="003A5D30" w:rsidRPr="00910392" w:rsidRDefault="003A5D30" w:rsidP="004C50DB">
      <w:pPr>
        <w:jc w:val="both"/>
      </w:pPr>
    </w:p>
    <w:p w:rsidR="003A5D30" w:rsidRDefault="00B82AB0" w:rsidP="004C50DB">
      <w:pPr>
        <w:jc w:val="both"/>
      </w:pPr>
      <w:r>
        <w:t xml:space="preserve">The </w:t>
      </w:r>
      <w:proofErr w:type="spellStart"/>
      <w:r>
        <w:t>Wurundjeri</w:t>
      </w:r>
      <w:proofErr w:type="spellEnd"/>
      <w:r>
        <w:t xml:space="preserve"> </w:t>
      </w:r>
      <w:proofErr w:type="spellStart"/>
      <w:r>
        <w:t>Willu</w:t>
      </w:r>
      <w:r w:rsidR="003A5D30" w:rsidRPr="00910392">
        <w:t>m</w:t>
      </w:r>
      <w:proofErr w:type="spellEnd"/>
      <w:r w:rsidR="003A5D30" w:rsidRPr="00910392">
        <w:t xml:space="preserve"> people are the original inhabitants of this area and the Traditional Owners of this land. </w:t>
      </w:r>
      <w:r>
        <w:t xml:space="preserve"> </w:t>
      </w:r>
      <w:r w:rsidR="003A5D30" w:rsidRPr="00910392">
        <w:t>The Aboriginal community is one of the fastest growing communities within the City, with an increase in residents of 24 per cent between 2001 and 2006, and 33 per cent between 2006 and 2011.</w:t>
      </w:r>
      <w:r w:rsidR="0009087E" w:rsidRPr="00910392">
        <w:rPr>
          <w:vertAlign w:val="superscript"/>
        </w:rPr>
        <w:endnoteReference w:id="3"/>
      </w:r>
      <w:r w:rsidR="003A5D30" w:rsidRPr="00910392">
        <w:t xml:space="preserve"> </w:t>
      </w:r>
      <w:r>
        <w:t xml:space="preserve"> </w:t>
      </w:r>
      <w:r w:rsidR="003A5D30" w:rsidRPr="00910392">
        <w:t>The City currently has the fourth highest Aboriginal population in Metropolitan Melbourne with 1,125 people, and is the second highest in terms of the percentage of Aboriginal people compared to the total number of residents with 0.73 per cent of the total population being Aboriginal</w:t>
      </w:r>
      <w:r w:rsidR="003A5D30">
        <w:t>.</w:t>
      </w:r>
      <w:r w:rsidR="0009087E">
        <w:rPr>
          <w:rStyle w:val="EndnoteReference"/>
        </w:rPr>
        <w:endnoteReference w:id="4"/>
      </w:r>
    </w:p>
    <w:p w:rsidR="003A5D30" w:rsidRPr="00910392" w:rsidRDefault="003A5D30" w:rsidP="004C50DB">
      <w:pPr>
        <w:jc w:val="both"/>
      </w:pPr>
    </w:p>
    <w:p w:rsidR="006F66A4" w:rsidRDefault="008F2455" w:rsidP="004C50DB">
      <w:pPr>
        <w:jc w:val="both"/>
      </w:pPr>
      <w:r w:rsidRPr="008F2455">
        <w:t>The City of Whittlesea is a diverse community. With migrants from more than 140 countries, 30% of residents come from a country where English is not the first language (double the Victorian average) and 43% speak a language other than English at home</w:t>
      </w:r>
      <w:r w:rsidR="006F66A4" w:rsidRPr="008F2455">
        <w:t>.</w:t>
      </w:r>
      <w:r w:rsidR="006F66A4" w:rsidRPr="008F2455">
        <w:rPr>
          <w:vertAlign w:val="superscript"/>
        </w:rPr>
        <w:endnoteReference w:id="5"/>
      </w:r>
      <w:r w:rsidR="003A5D30" w:rsidRPr="008F2455">
        <w:t xml:space="preserve"> </w:t>
      </w:r>
      <w:r w:rsidR="006F66A4" w:rsidRPr="008F2455">
        <w:t xml:space="preserve"> </w:t>
      </w:r>
    </w:p>
    <w:p w:rsidR="003A5D30" w:rsidRDefault="00EB7A5E" w:rsidP="004C50DB">
      <w:pPr>
        <w:jc w:val="both"/>
      </w:pPr>
      <w:r>
        <w:t xml:space="preserve">There are </w:t>
      </w:r>
      <w:r w:rsidR="00126DF2">
        <w:t xml:space="preserve">approximately </w:t>
      </w:r>
      <w:r>
        <w:t>63</w:t>
      </w:r>
      <w:r w:rsidR="003A5D30" w:rsidRPr="00910392">
        <w:t xml:space="preserve"> births in the City each week</w:t>
      </w:r>
      <w:r w:rsidR="002D10CE">
        <w:t xml:space="preserve"> and a</w:t>
      </w:r>
      <w:r>
        <w:t>pproximately 15</w:t>
      </w:r>
      <w:r w:rsidR="003A5D30" w:rsidRPr="00910392">
        <w:t xml:space="preserve">6 new residents </w:t>
      </w:r>
      <w:r w:rsidR="002D10CE" w:rsidRPr="00910392">
        <w:t>move into the City each week</w:t>
      </w:r>
      <w:r w:rsidR="002D10CE">
        <w:t xml:space="preserve"> this equates to approximately 8000</w:t>
      </w:r>
      <w:r w:rsidR="00126DF2">
        <w:t xml:space="preserve"> new residents a year.</w:t>
      </w:r>
      <w:r w:rsidR="002D10CE">
        <w:rPr>
          <w:rStyle w:val="EndnoteReference"/>
        </w:rPr>
        <w:endnoteReference w:id="6"/>
      </w:r>
      <w:r w:rsidR="00126DF2">
        <w:t xml:space="preserve"> </w:t>
      </w:r>
      <w:r w:rsidR="003A5D30" w:rsidRPr="00910392">
        <w:t xml:space="preserve"> There is a high proportion of the population under 25 years of age (34.5%) and 27.1% of residents are aged 50 years old and above.</w:t>
      </w:r>
      <w:r w:rsidRPr="00910392">
        <w:rPr>
          <w:vertAlign w:val="superscript"/>
        </w:rPr>
        <w:endnoteReference w:id="7"/>
      </w:r>
    </w:p>
    <w:p w:rsidR="00FB7F90" w:rsidRDefault="003A5D30" w:rsidP="003D239A">
      <w:pPr>
        <w:jc w:val="both"/>
      </w:pPr>
      <w:r>
        <w:br w:type="page"/>
      </w:r>
    </w:p>
    <w:p w:rsidR="0075611B" w:rsidRDefault="000C6AB8" w:rsidP="00D87898">
      <w:pPr>
        <w:pStyle w:val="Heading2"/>
      </w:pPr>
      <w:bookmarkStart w:id="25" w:name="_Toc477338741"/>
      <w:r>
        <w:t>C</w:t>
      </w:r>
      <w:r w:rsidR="0075611B">
        <w:t>rime prevention theory and evidence</w:t>
      </w:r>
      <w:bookmarkEnd w:id="25"/>
    </w:p>
    <w:p w:rsidR="000C6AB8" w:rsidRPr="000C6AB8" w:rsidRDefault="000C6AB8" w:rsidP="00D87898">
      <w:pPr>
        <w:pStyle w:val="Heading3"/>
        <w:rPr>
          <w:lang w:val="en-GB"/>
        </w:rPr>
      </w:pPr>
      <w:bookmarkStart w:id="26" w:name="_Toc477338742"/>
      <w:r w:rsidRPr="000C6AB8">
        <w:rPr>
          <w:lang w:val="en-GB"/>
        </w:rPr>
        <w:t>A snapshot</w:t>
      </w:r>
      <w:bookmarkEnd w:id="26"/>
    </w:p>
    <w:p w:rsidR="00D7017D" w:rsidRDefault="00D7017D" w:rsidP="00D7017D">
      <w:pPr>
        <w:jc w:val="both"/>
      </w:pPr>
      <w:r w:rsidRPr="00D7017D">
        <w:t>Crime prevention can reduce the long term costs associated with the criminal justice system and the costs</w:t>
      </w:r>
      <w:r>
        <w:t xml:space="preserve"> </w:t>
      </w:r>
      <w:r w:rsidRPr="00D7017D">
        <w:t>of crime, both economic and social, and can achieve a significant return on investment in terms of savings</w:t>
      </w:r>
      <w:r>
        <w:t xml:space="preserve"> </w:t>
      </w:r>
      <w:r w:rsidRPr="00D7017D">
        <w:t xml:space="preserve">in justice, welfare, health care, and the protection of social and human capital. </w:t>
      </w:r>
      <w:r>
        <w:t xml:space="preserve"> </w:t>
      </w:r>
      <w:r w:rsidRPr="00D7017D">
        <w:t>A safe and secure society is</w:t>
      </w:r>
      <w:r>
        <w:t xml:space="preserve"> </w:t>
      </w:r>
      <w:r w:rsidRPr="00D7017D">
        <w:t xml:space="preserve">an important foundation for the delivery of other key services. </w:t>
      </w:r>
      <w:r>
        <w:t xml:space="preserve"> </w:t>
      </w:r>
      <w:r w:rsidRPr="00D7017D">
        <w:t>Community safety and security is a prerequisite</w:t>
      </w:r>
      <w:r>
        <w:t xml:space="preserve"> </w:t>
      </w:r>
      <w:r w:rsidRPr="00D7017D">
        <w:t>for sound economic growth through continuing business investment as well as community well-being and</w:t>
      </w:r>
      <w:r>
        <w:t xml:space="preserve"> </w:t>
      </w:r>
      <w:r w:rsidRPr="00D7017D">
        <w:t xml:space="preserve">cohesion. </w:t>
      </w:r>
      <w:r>
        <w:t xml:space="preserve"> </w:t>
      </w:r>
      <w:r w:rsidRPr="00D7017D">
        <w:t>International experience has shown that effective crime prevention can both maintain and reinforce</w:t>
      </w:r>
      <w:r>
        <w:t xml:space="preserve"> </w:t>
      </w:r>
      <w:r w:rsidRPr="00D7017D">
        <w:t>the social cohesion of communities and assist them to act collectively to improve their quality of life.</w:t>
      </w:r>
      <w:r w:rsidR="00FC3531">
        <w:rPr>
          <w:rStyle w:val="EndnoteReference"/>
        </w:rPr>
        <w:endnoteReference w:id="8"/>
      </w:r>
    </w:p>
    <w:p w:rsidR="00FC3531" w:rsidRDefault="00FC3531" w:rsidP="00D7017D">
      <w:pPr>
        <w:jc w:val="both"/>
      </w:pPr>
    </w:p>
    <w:p w:rsidR="00C96FD7" w:rsidRDefault="00C96FD7" w:rsidP="00C96FD7">
      <w:pPr>
        <w:jc w:val="both"/>
      </w:pPr>
      <w:r w:rsidRPr="00CA709D">
        <w:t xml:space="preserve">Action to address crime and community safety has strong synergies with community building, good health and wellbeing and improved access to employment, education and training.  </w:t>
      </w:r>
      <w:r>
        <w:t>There is no single factor or combination of factors that causes a person to get involved in crime, however there are risk factors that can increase the likelihood.  Similarly, protective factors are positive influences that can keep people from becoming involved in crime.</w:t>
      </w:r>
    </w:p>
    <w:p w:rsidR="00C96FD7" w:rsidRDefault="00C96FD7" w:rsidP="00C96FD7">
      <w:pPr>
        <w:jc w:val="both"/>
      </w:pPr>
    </w:p>
    <w:p w:rsidR="00C96FD7" w:rsidRDefault="00C96FD7" w:rsidP="00C96FD7">
      <w:pPr>
        <w:jc w:val="both"/>
        <w:rPr>
          <w:b/>
        </w:rPr>
      </w:pPr>
      <w:r w:rsidRPr="002D431E">
        <w:rPr>
          <w:b/>
        </w:rPr>
        <w:t>Figure 1: Factors that influence the risks of crime</w:t>
      </w:r>
      <w:r>
        <w:rPr>
          <w:rStyle w:val="EndnoteReference"/>
        </w:rPr>
        <w:endnoteReference w:id="9"/>
      </w:r>
    </w:p>
    <w:p w:rsidR="00C96FD7" w:rsidRDefault="00C96FD7" w:rsidP="00C96FD7">
      <w:pPr>
        <w:jc w:val="both"/>
      </w:pPr>
    </w:p>
    <w:p w:rsidR="00C96FD7" w:rsidRPr="00CA709D" w:rsidRDefault="004E02EC" w:rsidP="00C96FD7">
      <w:pPr>
        <w:jc w:val="both"/>
      </w:pPr>
      <w:r>
        <w:rPr>
          <w:noProof/>
        </w:rPr>
        <w:drawing>
          <wp:inline distT="0" distB="0" distL="0" distR="0" wp14:anchorId="6DC1074A" wp14:editId="2141A41C">
            <wp:extent cx="5278120" cy="3802953"/>
            <wp:effectExtent l="0" t="0" r="0" b="7620"/>
            <wp:docPr id="1" name="Picture 1" descr="Rrisk factors family violence, low school achievement, engagement with criminal justice system at early age, unemployment,  alcohol &amp; drug use, low family income&#10;&#10;Protective factors positive adult role models, healthy early childhood development, strong commitment to school, steady employment&#10;&#10;Individual factors&#10;&#10;Thoughts and behaviours personal values, beliefs, skills&#10;&#10;Family relationship, family values, norms, expectations&#10;&#10;School and local community community factors, school policies, availability of mentors, support services&#10;&#10;Wider national society culture, media, economy&#10;&#10;Global society world politics, global economy" title="Factors that influence the risks of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8120" cy="3802953"/>
                    </a:xfrm>
                    <a:prstGeom prst="rect">
                      <a:avLst/>
                    </a:prstGeom>
                  </pic:spPr>
                </pic:pic>
              </a:graphicData>
            </a:graphic>
          </wp:inline>
        </w:drawing>
      </w:r>
    </w:p>
    <w:p w:rsidR="00C96FD7" w:rsidRDefault="00C96FD7">
      <w:pPr>
        <w:rPr>
          <w:rFonts w:eastAsiaTheme="majorEastAsia"/>
          <w:b/>
          <w:color w:val="072B61"/>
          <w:sz w:val="36"/>
          <w:szCs w:val="36"/>
        </w:rPr>
      </w:pPr>
      <w:r>
        <w:rPr>
          <w:rFonts w:eastAsiaTheme="majorEastAsia"/>
          <w:b/>
          <w:color w:val="072B61"/>
          <w:sz w:val="36"/>
          <w:szCs w:val="36"/>
        </w:rPr>
        <w:br w:type="page"/>
      </w:r>
    </w:p>
    <w:p w:rsidR="008332DB" w:rsidRPr="000C6AB8" w:rsidRDefault="008332DB" w:rsidP="00D87898">
      <w:pPr>
        <w:pStyle w:val="Heading2"/>
      </w:pPr>
      <w:bookmarkStart w:id="27" w:name="_Toc477338743"/>
      <w:r w:rsidRPr="000C6AB8">
        <w:t>The role of local government in crime prevention</w:t>
      </w:r>
      <w:bookmarkEnd w:id="27"/>
    </w:p>
    <w:p w:rsidR="008332DB" w:rsidRPr="00B00BD4" w:rsidRDefault="008332DB" w:rsidP="000C6AB8">
      <w:pPr>
        <w:pStyle w:val="TitleDescip"/>
        <w:jc w:val="both"/>
        <w:rPr>
          <w:b w:val="0"/>
          <w:color w:val="auto"/>
          <w:sz w:val="24"/>
          <w:szCs w:val="24"/>
          <w:lang w:val="en"/>
        </w:rPr>
      </w:pPr>
      <w:r w:rsidRPr="00B00BD4">
        <w:rPr>
          <w:b w:val="0"/>
          <w:color w:val="auto"/>
          <w:sz w:val="24"/>
          <w:szCs w:val="24"/>
          <w:lang w:val="en"/>
        </w:rPr>
        <w:t xml:space="preserve">In Australia, federal and state governments are responsible for crime prevention policy and the overarching strategy or </w:t>
      </w:r>
      <w:r w:rsidR="000D03D2" w:rsidRPr="00B00BD4">
        <w:rPr>
          <w:b w:val="0"/>
          <w:color w:val="auto"/>
          <w:sz w:val="24"/>
          <w:szCs w:val="24"/>
          <w:lang w:val="en"/>
        </w:rPr>
        <w:t>framework</w:t>
      </w:r>
      <w:r w:rsidR="000C6AB8" w:rsidRPr="00B00BD4">
        <w:rPr>
          <w:b w:val="0"/>
          <w:color w:val="auto"/>
          <w:sz w:val="24"/>
          <w:szCs w:val="24"/>
          <w:lang w:val="en"/>
        </w:rPr>
        <w:t xml:space="preserve"> that outlines the goals, priorities and</w:t>
      </w:r>
      <w:r w:rsidRPr="00B00BD4">
        <w:rPr>
          <w:b w:val="0"/>
          <w:color w:val="auto"/>
          <w:sz w:val="24"/>
          <w:szCs w:val="24"/>
          <w:lang w:val="en"/>
        </w:rPr>
        <w:t xml:space="preserve"> approach</w:t>
      </w:r>
      <w:r w:rsidR="000C6AB8" w:rsidRPr="00B00BD4">
        <w:rPr>
          <w:b w:val="0"/>
          <w:color w:val="auto"/>
          <w:sz w:val="24"/>
          <w:szCs w:val="24"/>
          <w:lang w:val="en"/>
        </w:rPr>
        <w:t>es</w:t>
      </w:r>
      <w:r w:rsidRPr="00B00BD4">
        <w:rPr>
          <w:b w:val="0"/>
          <w:color w:val="auto"/>
          <w:sz w:val="24"/>
          <w:szCs w:val="24"/>
          <w:lang w:val="en"/>
        </w:rPr>
        <w:t xml:space="preserve"> to preventing crime.  </w:t>
      </w:r>
      <w:r w:rsidR="000D03D2" w:rsidRPr="00B00BD4">
        <w:rPr>
          <w:b w:val="0"/>
          <w:color w:val="auto"/>
          <w:sz w:val="24"/>
          <w:szCs w:val="24"/>
          <w:lang w:val="en"/>
        </w:rPr>
        <w:t xml:space="preserve">Relevant Departments </w:t>
      </w:r>
      <w:r w:rsidR="000C6AB8" w:rsidRPr="00B00BD4">
        <w:rPr>
          <w:b w:val="0"/>
          <w:color w:val="auto"/>
          <w:sz w:val="24"/>
          <w:szCs w:val="24"/>
          <w:lang w:val="en"/>
        </w:rPr>
        <w:t xml:space="preserve">typically </w:t>
      </w:r>
      <w:r w:rsidR="000D03D2" w:rsidRPr="00B00BD4">
        <w:rPr>
          <w:b w:val="0"/>
          <w:color w:val="auto"/>
          <w:sz w:val="24"/>
          <w:szCs w:val="24"/>
          <w:lang w:val="en"/>
        </w:rPr>
        <w:t>then provide funding and technical advice to n</w:t>
      </w:r>
      <w:r w:rsidRPr="00B00BD4">
        <w:rPr>
          <w:b w:val="0"/>
          <w:color w:val="auto"/>
          <w:sz w:val="24"/>
          <w:szCs w:val="24"/>
          <w:lang w:val="en"/>
        </w:rPr>
        <w:t xml:space="preserve">on-government </w:t>
      </w:r>
      <w:proofErr w:type="spellStart"/>
      <w:r w:rsidRPr="00B00BD4">
        <w:rPr>
          <w:b w:val="0"/>
          <w:color w:val="auto"/>
          <w:sz w:val="24"/>
          <w:szCs w:val="24"/>
          <w:lang w:val="en"/>
        </w:rPr>
        <w:t>organisations</w:t>
      </w:r>
      <w:proofErr w:type="spellEnd"/>
      <w:r w:rsidRPr="00B00BD4">
        <w:rPr>
          <w:b w:val="0"/>
          <w:color w:val="auto"/>
          <w:sz w:val="24"/>
          <w:szCs w:val="24"/>
          <w:lang w:val="en"/>
        </w:rPr>
        <w:t xml:space="preserve"> and local government authorities </w:t>
      </w:r>
      <w:r w:rsidR="000D03D2" w:rsidRPr="00B00BD4">
        <w:rPr>
          <w:b w:val="0"/>
          <w:color w:val="auto"/>
          <w:sz w:val="24"/>
          <w:szCs w:val="24"/>
          <w:lang w:val="en"/>
        </w:rPr>
        <w:t>to plan and deliver crime prevention initiatives to support the implementation of the</w:t>
      </w:r>
      <w:r w:rsidR="000C6AB8" w:rsidRPr="00B00BD4">
        <w:rPr>
          <w:b w:val="0"/>
          <w:color w:val="auto"/>
          <w:sz w:val="24"/>
          <w:szCs w:val="24"/>
          <w:lang w:val="en"/>
        </w:rPr>
        <w:t>se</w:t>
      </w:r>
      <w:r w:rsidR="000D03D2" w:rsidRPr="00B00BD4">
        <w:rPr>
          <w:b w:val="0"/>
          <w:color w:val="auto"/>
          <w:sz w:val="24"/>
          <w:szCs w:val="24"/>
          <w:lang w:val="en"/>
        </w:rPr>
        <w:t xml:space="preserve"> state and </w:t>
      </w:r>
      <w:r w:rsidR="00C7547E" w:rsidRPr="00B00BD4">
        <w:rPr>
          <w:b w:val="0"/>
          <w:color w:val="auto"/>
          <w:sz w:val="24"/>
          <w:szCs w:val="24"/>
          <w:lang w:val="en"/>
        </w:rPr>
        <w:t>national</w:t>
      </w:r>
      <w:r w:rsidR="000D03D2" w:rsidRPr="00B00BD4">
        <w:rPr>
          <w:b w:val="0"/>
          <w:color w:val="auto"/>
          <w:sz w:val="24"/>
          <w:szCs w:val="24"/>
          <w:lang w:val="en"/>
        </w:rPr>
        <w:t xml:space="preserve"> priorities.</w:t>
      </w:r>
    </w:p>
    <w:p w:rsidR="000D03D2" w:rsidRPr="00B00BD4" w:rsidRDefault="000D03D2" w:rsidP="000C6AB8">
      <w:pPr>
        <w:pStyle w:val="TitleDescip"/>
        <w:jc w:val="both"/>
        <w:rPr>
          <w:b w:val="0"/>
          <w:color w:val="auto"/>
          <w:sz w:val="24"/>
          <w:szCs w:val="24"/>
          <w:lang w:val="en"/>
        </w:rPr>
      </w:pPr>
    </w:p>
    <w:p w:rsidR="000D03D2" w:rsidRPr="00B00BD4" w:rsidRDefault="000D03D2" w:rsidP="000C6AB8">
      <w:pPr>
        <w:pStyle w:val="Default"/>
        <w:jc w:val="both"/>
        <w:rPr>
          <w:rFonts w:cs="Times New Roman"/>
          <w:color w:val="auto"/>
          <w:lang w:val="en"/>
        </w:rPr>
      </w:pPr>
      <w:r w:rsidRPr="00B00BD4">
        <w:rPr>
          <w:rFonts w:cs="Times New Roman"/>
          <w:color w:val="auto"/>
          <w:lang w:val="en"/>
        </w:rPr>
        <w:t>Local government plays a key role in creating the environment which supports health and wellbeing.  The Public Health and Wellbeing Act 2008 requires councils to prepare a four-year municipal public health and wellbeing plan which sets goals and priorities to enable people living in the municipality to achieve maximum health and wellbeing.  Feeling safe in the community enhances social connection and trust and improves health and wellbeing outcomes.</w:t>
      </w:r>
    </w:p>
    <w:p w:rsidR="000D03D2" w:rsidRPr="00B00BD4" w:rsidRDefault="000D03D2" w:rsidP="000C6AB8">
      <w:pPr>
        <w:pStyle w:val="Default"/>
        <w:jc w:val="both"/>
        <w:rPr>
          <w:rFonts w:cs="Times New Roman"/>
          <w:color w:val="auto"/>
          <w:lang w:val="en"/>
        </w:rPr>
      </w:pPr>
    </w:p>
    <w:p w:rsidR="000D03D2" w:rsidRPr="000D03D2" w:rsidRDefault="000D03D2" w:rsidP="000C6AB8">
      <w:pPr>
        <w:pStyle w:val="Body"/>
        <w:jc w:val="both"/>
        <w:rPr>
          <w:rFonts w:ascii="Calibri" w:hAnsi="Calibri"/>
          <w:sz w:val="24"/>
          <w:szCs w:val="24"/>
          <w:lang w:val="en" w:eastAsia="en-AU"/>
        </w:rPr>
      </w:pPr>
      <w:r w:rsidRPr="00B00BD4">
        <w:rPr>
          <w:rFonts w:ascii="Calibri" w:hAnsi="Calibri"/>
          <w:sz w:val="24"/>
          <w:szCs w:val="24"/>
          <w:lang w:val="en" w:eastAsia="en-AU"/>
        </w:rPr>
        <w:t>Local governments support community safety in many ways such as</w:t>
      </w:r>
      <w:r w:rsidR="00C7547E" w:rsidRPr="00B00BD4">
        <w:rPr>
          <w:rFonts w:ascii="Calibri" w:hAnsi="Calibri"/>
          <w:sz w:val="24"/>
          <w:szCs w:val="24"/>
          <w:lang w:val="en" w:eastAsia="en-AU"/>
        </w:rPr>
        <w:t xml:space="preserve"> the</w:t>
      </w:r>
      <w:r w:rsidRPr="00B00BD4">
        <w:rPr>
          <w:rFonts w:ascii="Calibri" w:hAnsi="Calibri"/>
          <w:sz w:val="24"/>
          <w:szCs w:val="24"/>
          <w:lang w:val="en" w:eastAsia="en-AU"/>
        </w:rPr>
        <w:t xml:space="preserve"> provision of local </w:t>
      </w:r>
      <w:r w:rsidRPr="007A44CE">
        <w:rPr>
          <w:rFonts w:ascii="Calibri" w:hAnsi="Calibri"/>
          <w:sz w:val="24"/>
          <w:szCs w:val="24"/>
          <w:lang w:val="en" w:eastAsia="en-AU"/>
        </w:rPr>
        <w:t xml:space="preserve">services, creating opportunities for social participation, </w:t>
      </w:r>
      <w:r w:rsidR="008E61FB" w:rsidRPr="007A44CE">
        <w:rPr>
          <w:rFonts w:ascii="Calibri" w:hAnsi="Calibri"/>
          <w:sz w:val="24"/>
          <w:szCs w:val="24"/>
          <w:lang w:val="en-AU" w:eastAsia="en-AU"/>
        </w:rPr>
        <w:t xml:space="preserve">supporting culturally diverse communities and Aboriginal reconciliation, </w:t>
      </w:r>
      <w:r w:rsidRPr="007A44CE">
        <w:rPr>
          <w:rFonts w:ascii="Calibri" w:hAnsi="Calibri"/>
          <w:sz w:val="24"/>
          <w:szCs w:val="24"/>
          <w:lang w:val="en" w:eastAsia="en-AU"/>
        </w:rPr>
        <w:t>providing access to local facilities and undertaking</w:t>
      </w:r>
      <w:r w:rsidRPr="00B00BD4">
        <w:rPr>
          <w:rFonts w:ascii="Calibri" w:hAnsi="Calibri"/>
          <w:sz w:val="24"/>
          <w:szCs w:val="24"/>
          <w:lang w:val="en" w:eastAsia="en-AU"/>
        </w:rPr>
        <w:t xml:space="preserve"> strategic planning for health and wellbeing.  Local government is well-placed to lead and participate in crime prevention activity</w:t>
      </w:r>
      <w:r w:rsidR="00C419A6" w:rsidRPr="00B00BD4">
        <w:rPr>
          <w:rFonts w:ascii="Calibri" w:hAnsi="Calibri"/>
          <w:sz w:val="24"/>
          <w:szCs w:val="24"/>
          <w:lang w:val="en" w:eastAsia="en-AU"/>
        </w:rPr>
        <w:t xml:space="preserve">.  Most crime and immediate safety concerns for </w:t>
      </w:r>
      <w:r w:rsidR="008B15AE" w:rsidRPr="00B00BD4">
        <w:rPr>
          <w:rFonts w:ascii="Calibri" w:hAnsi="Calibri"/>
          <w:sz w:val="24"/>
          <w:szCs w:val="24"/>
          <w:lang w:val="en" w:eastAsia="en-AU"/>
        </w:rPr>
        <w:t>communities are local in nature,</w:t>
      </w:r>
      <w:r w:rsidR="00C419A6" w:rsidRPr="00B00BD4">
        <w:rPr>
          <w:rFonts w:ascii="Calibri" w:hAnsi="Calibri"/>
          <w:sz w:val="24"/>
          <w:szCs w:val="24"/>
          <w:lang w:val="en" w:eastAsia="en-AU"/>
        </w:rPr>
        <w:t xml:space="preserve"> </w:t>
      </w:r>
      <w:r w:rsidR="008B15AE" w:rsidRPr="00B00BD4">
        <w:rPr>
          <w:rFonts w:ascii="Calibri" w:hAnsi="Calibri"/>
          <w:sz w:val="24"/>
          <w:szCs w:val="24"/>
          <w:lang w:val="en" w:eastAsia="en-AU"/>
        </w:rPr>
        <w:t>for example property crime,</w:t>
      </w:r>
      <w:r w:rsidR="00C419A6" w:rsidRPr="00B00BD4">
        <w:rPr>
          <w:rFonts w:ascii="Calibri" w:hAnsi="Calibri"/>
          <w:sz w:val="24"/>
          <w:szCs w:val="24"/>
          <w:lang w:val="en" w:eastAsia="en-AU"/>
        </w:rPr>
        <w:t xml:space="preserve"> theft, antisocia</w:t>
      </w:r>
      <w:r w:rsidR="008B15AE" w:rsidRPr="00B00BD4">
        <w:rPr>
          <w:rFonts w:ascii="Calibri" w:hAnsi="Calibri"/>
          <w:sz w:val="24"/>
          <w:szCs w:val="24"/>
          <w:lang w:val="en" w:eastAsia="en-AU"/>
        </w:rPr>
        <w:t xml:space="preserve">l </w:t>
      </w:r>
      <w:proofErr w:type="spellStart"/>
      <w:r w:rsidR="008B15AE" w:rsidRPr="00B00BD4">
        <w:rPr>
          <w:rFonts w:ascii="Calibri" w:hAnsi="Calibri"/>
          <w:sz w:val="24"/>
          <w:szCs w:val="24"/>
          <w:lang w:val="en" w:eastAsia="en-AU"/>
        </w:rPr>
        <w:t>behaviour</w:t>
      </w:r>
      <w:proofErr w:type="spellEnd"/>
      <w:r w:rsidR="008B15AE" w:rsidRPr="00B00BD4">
        <w:rPr>
          <w:rFonts w:ascii="Calibri" w:hAnsi="Calibri"/>
          <w:sz w:val="24"/>
          <w:szCs w:val="24"/>
          <w:lang w:val="en" w:eastAsia="en-AU"/>
        </w:rPr>
        <w:t xml:space="preserve"> and</w:t>
      </w:r>
      <w:r w:rsidR="00C419A6" w:rsidRPr="00B00BD4">
        <w:rPr>
          <w:rFonts w:ascii="Calibri" w:hAnsi="Calibri"/>
          <w:sz w:val="24"/>
          <w:szCs w:val="24"/>
          <w:lang w:val="en" w:eastAsia="en-AU"/>
        </w:rPr>
        <w:t xml:space="preserve"> vandalism.  Therefor</w:t>
      </w:r>
      <w:r w:rsidR="008B15AE" w:rsidRPr="00B00BD4">
        <w:rPr>
          <w:rFonts w:ascii="Calibri" w:hAnsi="Calibri"/>
          <w:sz w:val="24"/>
          <w:szCs w:val="24"/>
          <w:lang w:val="en" w:eastAsia="en-AU"/>
        </w:rPr>
        <w:t>e</w:t>
      </w:r>
      <w:r w:rsidR="00C419A6" w:rsidRPr="00B00BD4">
        <w:rPr>
          <w:rFonts w:ascii="Calibri" w:hAnsi="Calibri"/>
          <w:sz w:val="24"/>
          <w:szCs w:val="24"/>
          <w:lang w:val="en" w:eastAsia="en-AU"/>
        </w:rPr>
        <w:t xml:space="preserve"> the approach to preventing crime should also be local</w:t>
      </w:r>
      <w:r w:rsidR="008B15AE" w:rsidRPr="00B00BD4">
        <w:rPr>
          <w:rFonts w:ascii="Calibri" w:hAnsi="Calibri"/>
          <w:sz w:val="24"/>
          <w:szCs w:val="24"/>
          <w:lang w:val="en" w:eastAsia="en-AU"/>
        </w:rPr>
        <w:t>ly tailored</w:t>
      </w:r>
      <w:r w:rsidR="00C419A6" w:rsidRPr="00B00BD4">
        <w:rPr>
          <w:rFonts w:ascii="Calibri" w:hAnsi="Calibri"/>
          <w:sz w:val="24"/>
          <w:szCs w:val="24"/>
          <w:lang w:val="en" w:eastAsia="en-AU"/>
        </w:rPr>
        <w:t>.  Local government,</w:t>
      </w:r>
      <w:r w:rsidRPr="00B00BD4">
        <w:rPr>
          <w:rFonts w:ascii="Calibri" w:hAnsi="Calibri"/>
          <w:sz w:val="24"/>
          <w:szCs w:val="24"/>
          <w:lang w:val="en" w:eastAsia="en-AU"/>
        </w:rPr>
        <w:t xml:space="preserve"> due to its functions and relationships to the c</w:t>
      </w:r>
      <w:r w:rsidR="00C419A6" w:rsidRPr="00B00BD4">
        <w:rPr>
          <w:rFonts w:ascii="Calibri" w:hAnsi="Calibri"/>
          <w:sz w:val="24"/>
          <w:szCs w:val="24"/>
          <w:lang w:val="en" w:eastAsia="en-AU"/>
        </w:rPr>
        <w:t>ommunity and other key partners are well-placed to lead and coordinate this work.</w:t>
      </w:r>
    </w:p>
    <w:p w:rsidR="00833A5B" w:rsidRDefault="00833A5B">
      <w:pPr>
        <w:rPr>
          <w:rFonts w:eastAsiaTheme="majorEastAsia"/>
          <w:b/>
          <w:color w:val="072B61"/>
          <w:sz w:val="36"/>
          <w:szCs w:val="36"/>
          <w:lang w:val="en-GB"/>
        </w:rPr>
      </w:pPr>
      <w:r>
        <w:rPr>
          <w:rFonts w:eastAsiaTheme="majorEastAsia"/>
          <w:lang w:val="en-GB"/>
        </w:rPr>
        <w:br w:type="page"/>
      </w:r>
    </w:p>
    <w:p w:rsidR="0075611B" w:rsidRPr="004461B7" w:rsidRDefault="00CD6B61" w:rsidP="00D87898">
      <w:pPr>
        <w:pStyle w:val="Heading3"/>
        <w:rPr>
          <w:rFonts w:eastAsiaTheme="majorEastAsia"/>
          <w:lang w:val="en-GB"/>
        </w:rPr>
      </w:pPr>
      <w:bookmarkStart w:id="28" w:name="_Toc477338744"/>
      <w:r w:rsidRPr="004461B7">
        <w:rPr>
          <w:rFonts w:eastAsiaTheme="majorEastAsia"/>
          <w:lang w:val="en-GB"/>
        </w:rPr>
        <w:t>Approaches</w:t>
      </w:r>
      <w:r w:rsidR="0075611B" w:rsidRPr="004461B7">
        <w:rPr>
          <w:rFonts w:eastAsiaTheme="majorEastAsia"/>
          <w:lang w:val="en-GB"/>
        </w:rPr>
        <w:t xml:space="preserve"> to preventing crime</w:t>
      </w:r>
      <w:bookmarkEnd w:id="28"/>
    </w:p>
    <w:p w:rsidR="00EA51DD" w:rsidRDefault="00013A3F" w:rsidP="000F53BB">
      <w:pPr>
        <w:autoSpaceDE w:val="0"/>
        <w:autoSpaceDN w:val="0"/>
        <w:adjustRightInd w:val="0"/>
        <w:jc w:val="both"/>
      </w:pPr>
      <w:r w:rsidRPr="008332DB">
        <w:rPr>
          <w:lang w:val="en"/>
        </w:rPr>
        <w:t>Effective crime prevention requires careful consideration of the evidence base with</w:t>
      </w:r>
      <w:r w:rsidRPr="00013A3F">
        <w:rPr>
          <w:lang w:val="en"/>
        </w:rPr>
        <w:t xml:space="preserve"> regard to identifying possible interventions, the circumstances in which these interventions will be delivered and how they will be adapted to suit local conditions.</w:t>
      </w:r>
      <w:r>
        <w:rPr>
          <w:lang w:val="en"/>
        </w:rPr>
        <w:t xml:space="preserve">  </w:t>
      </w:r>
      <w:r w:rsidR="0075611B">
        <w:t xml:space="preserve">Crime prevention refers to the efforts to prevent crime and offending before it occurs.  </w:t>
      </w:r>
      <w:r w:rsidR="0075611B" w:rsidRPr="0075611B">
        <w:t>There are a variety of different approaches to preventing crime, and programs frequently involve multiple</w:t>
      </w:r>
      <w:r w:rsidR="000D69BC">
        <w:t xml:space="preserve"> </w:t>
      </w:r>
      <w:r w:rsidR="0075611B" w:rsidRPr="0075611B">
        <w:t xml:space="preserve">interventions delivered </w:t>
      </w:r>
      <w:r w:rsidR="000D69BC">
        <w:t>together</w:t>
      </w:r>
      <w:r w:rsidR="0075611B" w:rsidRPr="0075611B">
        <w:t>.</w:t>
      </w:r>
      <w:r w:rsidR="008F7133">
        <w:rPr>
          <w:rStyle w:val="EndnoteReference"/>
        </w:rPr>
        <w:endnoteReference w:id="10"/>
      </w:r>
      <w:r w:rsidR="000D69BC">
        <w:t xml:space="preserve"> </w:t>
      </w:r>
      <w:r w:rsidR="0075611B" w:rsidRPr="0075611B">
        <w:t xml:space="preserve"> </w:t>
      </w:r>
    </w:p>
    <w:tbl>
      <w:tblPr>
        <w:tblStyle w:val="TableGrid"/>
        <w:tblW w:w="0" w:type="auto"/>
        <w:tblLook w:val="04A0" w:firstRow="1" w:lastRow="0" w:firstColumn="1" w:lastColumn="0" w:noHBand="0" w:noVBand="1"/>
        <w:tblCaption w:val="Approaches to preventing crime"/>
      </w:tblPr>
      <w:tblGrid>
        <w:gridCol w:w="2842"/>
        <w:gridCol w:w="2843"/>
        <w:gridCol w:w="2843"/>
      </w:tblGrid>
      <w:tr w:rsidR="000F66FB" w:rsidRPr="00132E63" w:rsidTr="00FF0E4D">
        <w:trPr>
          <w:tblHeader/>
        </w:trPr>
        <w:tc>
          <w:tcPr>
            <w:tcW w:w="2842" w:type="dxa"/>
            <w:shd w:val="clear" w:color="auto" w:fill="D6E3BC" w:themeFill="accent3" w:themeFillTint="66"/>
          </w:tcPr>
          <w:p w:rsidR="000F66FB" w:rsidRPr="00132E63" w:rsidRDefault="000F66FB" w:rsidP="000F66FB">
            <w:pPr>
              <w:rPr>
                <w:b/>
                <w:noProof/>
                <w:sz w:val="22"/>
              </w:rPr>
            </w:pPr>
            <w:r w:rsidRPr="00132E63">
              <w:rPr>
                <w:b/>
                <w:noProof/>
                <w:sz w:val="22"/>
              </w:rPr>
              <w:t>Crime Prevention Approach</w:t>
            </w:r>
          </w:p>
        </w:tc>
        <w:tc>
          <w:tcPr>
            <w:tcW w:w="2843" w:type="dxa"/>
            <w:shd w:val="clear" w:color="auto" w:fill="D6E3BC" w:themeFill="accent3" w:themeFillTint="66"/>
          </w:tcPr>
          <w:p w:rsidR="000F66FB" w:rsidRPr="00132E63" w:rsidRDefault="000F66FB" w:rsidP="000F66FB">
            <w:pPr>
              <w:rPr>
                <w:b/>
                <w:noProof/>
                <w:sz w:val="22"/>
              </w:rPr>
            </w:pPr>
            <w:r w:rsidRPr="00132E63">
              <w:rPr>
                <w:b/>
                <w:noProof/>
                <w:sz w:val="22"/>
              </w:rPr>
              <w:t>Description</w:t>
            </w:r>
          </w:p>
        </w:tc>
        <w:tc>
          <w:tcPr>
            <w:tcW w:w="2843" w:type="dxa"/>
            <w:shd w:val="clear" w:color="auto" w:fill="D6E3BC" w:themeFill="accent3" w:themeFillTint="66"/>
          </w:tcPr>
          <w:p w:rsidR="000F66FB" w:rsidRPr="00132E63" w:rsidRDefault="000F66FB" w:rsidP="000F66FB">
            <w:pPr>
              <w:rPr>
                <w:b/>
                <w:noProof/>
                <w:sz w:val="22"/>
              </w:rPr>
            </w:pPr>
            <w:r w:rsidRPr="00132E63">
              <w:rPr>
                <w:b/>
                <w:noProof/>
                <w:sz w:val="22"/>
              </w:rPr>
              <w:t>Community Safety and Crime Prevention Committee agency</w:t>
            </w:r>
          </w:p>
        </w:tc>
      </w:tr>
      <w:tr w:rsidR="000F66FB" w:rsidRPr="00132E63" w:rsidTr="00B90DA9">
        <w:tc>
          <w:tcPr>
            <w:tcW w:w="2842" w:type="dxa"/>
            <w:shd w:val="clear" w:color="auto" w:fill="EAF1DD" w:themeFill="accent3" w:themeFillTint="33"/>
          </w:tcPr>
          <w:p w:rsidR="000F66FB" w:rsidRPr="00132E63" w:rsidRDefault="000F66FB" w:rsidP="000F66FB">
            <w:pPr>
              <w:rPr>
                <w:noProof/>
                <w:sz w:val="22"/>
              </w:rPr>
            </w:pPr>
            <w:r w:rsidRPr="00132E63">
              <w:rPr>
                <w:b/>
                <w:bCs/>
                <w:noProof/>
                <w:sz w:val="22"/>
              </w:rPr>
              <w:t>Information Gathering &amp; Coordination</w:t>
            </w:r>
          </w:p>
          <w:p w:rsidR="000F66FB" w:rsidRPr="00132E63" w:rsidRDefault="000F66FB" w:rsidP="000F66FB">
            <w:pPr>
              <w:rPr>
                <w:noProof/>
                <w:sz w:val="22"/>
              </w:rPr>
            </w:pPr>
          </w:p>
        </w:tc>
        <w:tc>
          <w:tcPr>
            <w:tcW w:w="2843" w:type="dxa"/>
          </w:tcPr>
          <w:p w:rsidR="000F66FB" w:rsidRPr="00132E63" w:rsidRDefault="00D213B0" w:rsidP="000F66FB">
            <w:pPr>
              <w:rPr>
                <w:noProof/>
                <w:sz w:val="22"/>
              </w:rPr>
            </w:pPr>
            <w:r>
              <w:rPr>
                <w:iCs/>
                <w:noProof/>
                <w:sz w:val="22"/>
              </w:rPr>
              <w:t>N</w:t>
            </w:r>
            <w:r w:rsidR="000F66FB" w:rsidRPr="00132E63">
              <w:rPr>
                <w:iCs/>
                <w:noProof/>
                <w:sz w:val="22"/>
              </w:rPr>
              <w:t>eeds identification, planning, collaboration, consultation, data and evidence gathering to inform local, tailored approaches</w:t>
            </w:r>
          </w:p>
        </w:tc>
        <w:tc>
          <w:tcPr>
            <w:tcW w:w="2843" w:type="dxa"/>
          </w:tcPr>
          <w:p w:rsidR="000F66FB" w:rsidRPr="00132E63" w:rsidRDefault="000F66FB" w:rsidP="000F66FB">
            <w:pPr>
              <w:rPr>
                <w:noProof/>
                <w:sz w:val="22"/>
              </w:rPr>
            </w:pPr>
            <w:r w:rsidRPr="00132E63">
              <w:rPr>
                <w:noProof/>
                <w:sz w:val="22"/>
              </w:rPr>
              <w:t>All</w:t>
            </w:r>
          </w:p>
        </w:tc>
      </w:tr>
      <w:tr w:rsidR="000F66FB" w:rsidRPr="00132E63" w:rsidTr="00B90DA9">
        <w:tc>
          <w:tcPr>
            <w:tcW w:w="2842" w:type="dxa"/>
            <w:shd w:val="clear" w:color="auto" w:fill="EAF1DD" w:themeFill="accent3" w:themeFillTint="33"/>
          </w:tcPr>
          <w:p w:rsidR="000F66FB" w:rsidRPr="00132E63" w:rsidRDefault="000F66FB" w:rsidP="000F66FB">
            <w:pPr>
              <w:rPr>
                <w:noProof/>
                <w:sz w:val="22"/>
              </w:rPr>
            </w:pPr>
            <w:r w:rsidRPr="00132E63">
              <w:rPr>
                <w:b/>
                <w:bCs/>
                <w:noProof/>
                <w:sz w:val="22"/>
              </w:rPr>
              <w:t>Criminal Justice Prevention</w:t>
            </w:r>
          </w:p>
          <w:p w:rsidR="000F66FB" w:rsidRPr="00132E63" w:rsidRDefault="000F66FB" w:rsidP="000F66FB">
            <w:pPr>
              <w:rPr>
                <w:noProof/>
                <w:sz w:val="22"/>
              </w:rPr>
            </w:pPr>
          </w:p>
        </w:tc>
        <w:tc>
          <w:tcPr>
            <w:tcW w:w="2843" w:type="dxa"/>
          </w:tcPr>
          <w:p w:rsidR="000F66FB" w:rsidRPr="00132E63" w:rsidRDefault="00D213B0" w:rsidP="000F66FB">
            <w:pPr>
              <w:rPr>
                <w:noProof/>
                <w:sz w:val="22"/>
              </w:rPr>
            </w:pPr>
            <w:r>
              <w:rPr>
                <w:iCs/>
                <w:noProof/>
                <w:sz w:val="22"/>
              </w:rPr>
              <w:t>T</w:t>
            </w:r>
            <w:r w:rsidR="000F66FB" w:rsidRPr="00132E63">
              <w:rPr>
                <w:iCs/>
                <w:noProof/>
                <w:sz w:val="22"/>
              </w:rPr>
              <w:t>raditional deterrence, incarceration and rehabilitation strategies within a law enforcement framework</w:t>
            </w:r>
          </w:p>
        </w:tc>
        <w:tc>
          <w:tcPr>
            <w:tcW w:w="2843" w:type="dxa"/>
          </w:tcPr>
          <w:p w:rsidR="000F66FB" w:rsidRPr="00132E63" w:rsidRDefault="000F66FB" w:rsidP="000F66FB">
            <w:pPr>
              <w:rPr>
                <w:noProof/>
                <w:sz w:val="22"/>
              </w:rPr>
            </w:pPr>
            <w:r w:rsidRPr="00132E63">
              <w:rPr>
                <w:noProof/>
                <w:sz w:val="22"/>
              </w:rPr>
              <w:t>Victoria Police</w:t>
            </w:r>
          </w:p>
          <w:p w:rsidR="000F66FB" w:rsidRPr="00132E63" w:rsidRDefault="000F66FB" w:rsidP="000F66FB">
            <w:pPr>
              <w:rPr>
                <w:noProof/>
                <w:sz w:val="22"/>
              </w:rPr>
            </w:pPr>
            <w:r w:rsidRPr="00132E63">
              <w:rPr>
                <w:noProof/>
                <w:sz w:val="22"/>
              </w:rPr>
              <w:t>Department of Justice and Regulation</w:t>
            </w:r>
          </w:p>
        </w:tc>
      </w:tr>
      <w:tr w:rsidR="000F66FB" w:rsidRPr="00132E63" w:rsidTr="00B90DA9">
        <w:tc>
          <w:tcPr>
            <w:tcW w:w="2842" w:type="dxa"/>
            <w:shd w:val="clear" w:color="auto" w:fill="EAF1DD" w:themeFill="accent3" w:themeFillTint="33"/>
          </w:tcPr>
          <w:p w:rsidR="000F66FB" w:rsidRPr="00132E63" w:rsidRDefault="000F66FB" w:rsidP="000F66FB">
            <w:pPr>
              <w:rPr>
                <w:noProof/>
                <w:sz w:val="22"/>
              </w:rPr>
            </w:pPr>
            <w:r w:rsidRPr="00132E63">
              <w:rPr>
                <w:b/>
                <w:bCs/>
                <w:noProof/>
                <w:sz w:val="22"/>
              </w:rPr>
              <w:t>Situational Prevention</w:t>
            </w:r>
          </w:p>
          <w:p w:rsidR="000F66FB" w:rsidRPr="00132E63" w:rsidRDefault="000F66FB" w:rsidP="000F66FB">
            <w:pPr>
              <w:rPr>
                <w:noProof/>
                <w:sz w:val="22"/>
              </w:rPr>
            </w:pPr>
          </w:p>
        </w:tc>
        <w:tc>
          <w:tcPr>
            <w:tcW w:w="2843" w:type="dxa"/>
          </w:tcPr>
          <w:p w:rsidR="000F66FB" w:rsidRPr="00132E63" w:rsidRDefault="00D213B0" w:rsidP="000F66FB">
            <w:pPr>
              <w:rPr>
                <w:noProof/>
                <w:sz w:val="22"/>
              </w:rPr>
            </w:pPr>
            <w:r>
              <w:rPr>
                <w:iCs/>
                <w:noProof/>
                <w:sz w:val="22"/>
              </w:rPr>
              <w:t>I</w:t>
            </w:r>
            <w:r w:rsidR="000F66FB" w:rsidRPr="00132E63">
              <w:rPr>
                <w:iCs/>
                <w:noProof/>
                <w:sz w:val="22"/>
              </w:rPr>
              <w:t>mprovements to physical environment - Crime Prevention Through Environmental Design, surveillance, 'target hardening'; strategies to increase the risk of offending behaviour</w:t>
            </w:r>
          </w:p>
        </w:tc>
        <w:tc>
          <w:tcPr>
            <w:tcW w:w="2843" w:type="dxa"/>
          </w:tcPr>
          <w:p w:rsidR="000F66FB" w:rsidRPr="00132E63" w:rsidRDefault="000F66FB" w:rsidP="000F66FB">
            <w:pPr>
              <w:rPr>
                <w:noProof/>
                <w:sz w:val="22"/>
              </w:rPr>
            </w:pPr>
            <w:r w:rsidRPr="00132E63">
              <w:rPr>
                <w:noProof/>
                <w:sz w:val="22"/>
              </w:rPr>
              <w:t>City of Whittlesea</w:t>
            </w:r>
          </w:p>
          <w:p w:rsidR="000F66FB" w:rsidRPr="00132E63" w:rsidRDefault="000F66FB" w:rsidP="000F66FB">
            <w:pPr>
              <w:rPr>
                <w:noProof/>
                <w:sz w:val="22"/>
              </w:rPr>
            </w:pPr>
            <w:r w:rsidRPr="00132E63">
              <w:rPr>
                <w:noProof/>
                <w:sz w:val="22"/>
              </w:rPr>
              <w:t>Victoria Police</w:t>
            </w:r>
          </w:p>
        </w:tc>
      </w:tr>
      <w:tr w:rsidR="000F66FB" w:rsidRPr="00132E63" w:rsidTr="00B90DA9">
        <w:tc>
          <w:tcPr>
            <w:tcW w:w="2842" w:type="dxa"/>
            <w:shd w:val="clear" w:color="auto" w:fill="EAF1DD" w:themeFill="accent3" w:themeFillTint="33"/>
          </w:tcPr>
          <w:p w:rsidR="000F66FB" w:rsidRPr="00132E63" w:rsidRDefault="000F66FB" w:rsidP="000F66FB">
            <w:pPr>
              <w:rPr>
                <w:noProof/>
                <w:sz w:val="22"/>
              </w:rPr>
            </w:pPr>
            <w:r w:rsidRPr="00132E63">
              <w:rPr>
                <w:b/>
                <w:bCs/>
                <w:noProof/>
                <w:sz w:val="22"/>
              </w:rPr>
              <w:t>Social Prevention</w:t>
            </w:r>
          </w:p>
          <w:p w:rsidR="000F66FB" w:rsidRPr="00132E63" w:rsidRDefault="000F66FB" w:rsidP="000F66FB">
            <w:pPr>
              <w:rPr>
                <w:noProof/>
                <w:sz w:val="22"/>
              </w:rPr>
            </w:pPr>
          </w:p>
        </w:tc>
        <w:tc>
          <w:tcPr>
            <w:tcW w:w="2843" w:type="dxa"/>
          </w:tcPr>
          <w:p w:rsidR="000F66FB" w:rsidRPr="00132E63" w:rsidRDefault="00D213B0" w:rsidP="000F66FB">
            <w:pPr>
              <w:rPr>
                <w:noProof/>
                <w:sz w:val="22"/>
              </w:rPr>
            </w:pPr>
            <w:r>
              <w:rPr>
                <w:iCs/>
                <w:noProof/>
                <w:sz w:val="22"/>
              </w:rPr>
              <w:t>S</w:t>
            </w:r>
            <w:r w:rsidR="000F66FB" w:rsidRPr="00132E63">
              <w:rPr>
                <w:iCs/>
                <w:noProof/>
                <w:sz w:val="22"/>
              </w:rPr>
              <w:t xml:space="preserve">trategies designed to change social conditions that influence offending - social and economic drivers, strengthening community and social connection, improving education and </w:t>
            </w:r>
            <w:r w:rsidR="000F66FB" w:rsidRPr="007A44CE">
              <w:rPr>
                <w:iCs/>
                <w:noProof/>
                <w:sz w:val="22"/>
              </w:rPr>
              <w:t>employment opportunities</w:t>
            </w:r>
            <w:r w:rsidR="00A46808" w:rsidRPr="007A44CE">
              <w:rPr>
                <w:iCs/>
                <w:noProof/>
                <w:sz w:val="22"/>
              </w:rPr>
              <w:t>;</w:t>
            </w:r>
            <w:r w:rsidR="008E61FB" w:rsidRPr="007A44CE">
              <w:rPr>
                <w:rFonts w:cs="Calibri"/>
                <w:color w:val="000000"/>
                <w:lang w:eastAsia="en-US"/>
              </w:rPr>
              <w:t xml:space="preserve"> </w:t>
            </w:r>
            <w:r w:rsidR="008E61FB" w:rsidRPr="007A44CE">
              <w:rPr>
                <w:iCs/>
                <w:noProof/>
                <w:sz w:val="22"/>
              </w:rPr>
              <w:t>implementation of strategies aimed at preventing racism</w:t>
            </w:r>
            <w:r w:rsidR="008E61FB" w:rsidRPr="008E61FB">
              <w:rPr>
                <w:iCs/>
                <w:noProof/>
                <w:sz w:val="22"/>
              </w:rPr>
              <w:t xml:space="preserve"> </w:t>
            </w:r>
          </w:p>
        </w:tc>
        <w:tc>
          <w:tcPr>
            <w:tcW w:w="2843" w:type="dxa"/>
          </w:tcPr>
          <w:p w:rsidR="000F66FB" w:rsidRPr="00132E63" w:rsidRDefault="000F66FB" w:rsidP="000F66FB">
            <w:pPr>
              <w:rPr>
                <w:noProof/>
                <w:sz w:val="22"/>
              </w:rPr>
            </w:pPr>
            <w:r w:rsidRPr="00132E63">
              <w:rPr>
                <w:noProof/>
                <w:sz w:val="22"/>
              </w:rPr>
              <w:t>City of Whittlesea</w:t>
            </w:r>
          </w:p>
          <w:p w:rsidR="000F66FB" w:rsidRPr="00132E63" w:rsidRDefault="000F66FB" w:rsidP="000F66FB">
            <w:pPr>
              <w:rPr>
                <w:noProof/>
                <w:sz w:val="22"/>
              </w:rPr>
            </w:pPr>
            <w:r w:rsidRPr="00132E63">
              <w:rPr>
                <w:noProof/>
                <w:sz w:val="22"/>
              </w:rPr>
              <w:t>Hume Whittlesea Local Learning and Employment Network</w:t>
            </w:r>
          </w:p>
          <w:p w:rsidR="000F66FB" w:rsidRPr="00132E63" w:rsidRDefault="000F66FB" w:rsidP="000F66FB">
            <w:pPr>
              <w:rPr>
                <w:noProof/>
                <w:sz w:val="22"/>
              </w:rPr>
            </w:pPr>
            <w:r w:rsidRPr="00132E63">
              <w:rPr>
                <w:noProof/>
                <w:sz w:val="22"/>
              </w:rPr>
              <w:t>Plenty Valley Community Health</w:t>
            </w:r>
          </w:p>
          <w:p w:rsidR="000F66FB" w:rsidRPr="00132E63" w:rsidRDefault="000F66FB" w:rsidP="000F66FB">
            <w:pPr>
              <w:rPr>
                <w:noProof/>
                <w:sz w:val="22"/>
              </w:rPr>
            </w:pPr>
            <w:r w:rsidRPr="00132E63">
              <w:rPr>
                <w:noProof/>
                <w:sz w:val="22"/>
              </w:rPr>
              <w:t>Whittlesea Community Connections</w:t>
            </w:r>
          </w:p>
        </w:tc>
      </w:tr>
      <w:tr w:rsidR="000F66FB" w:rsidRPr="00132E63" w:rsidTr="00B90DA9">
        <w:tc>
          <w:tcPr>
            <w:tcW w:w="2842" w:type="dxa"/>
            <w:shd w:val="clear" w:color="auto" w:fill="EAF1DD" w:themeFill="accent3" w:themeFillTint="33"/>
          </w:tcPr>
          <w:p w:rsidR="000F66FB" w:rsidRPr="00132E63" w:rsidRDefault="000F66FB" w:rsidP="000F66FB">
            <w:pPr>
              <w:rPr>
                <w:noProof/>
                <w:sz w:val="22"/>
              </w:rPr>
            </w:pPr>
            <w:r w:rsidRPr="00132E63">
              <w:rPr>
                <w:b/>
                <w:bCs/>
                <w:noProof/>
                <w:sz w:val="22"/>
              </w:rPr>
              <w:t>Developmental Prevention</w:t>
            </w:r>
          </w:p>
          <w:p w:rsidR="000F66FB" w:rsidRPr="00132E63" w:rsidRDefault="000F66FB" w:rsidP="000F66FB">
            <w:pPr>
              <w:rPr>
                <w:noProof/>
                <w:sz w:val="22"/>
              </w:rPr>
            </w:pPr>
          </w:p>
        </w:tc>
        <w:tc>
          <w:tcPr>
            <w:tcW w:w="2843" w:type="dxa"/>
          </w:tcPr>
          <w:p w:rsidR="000F66FB" w:rsidRPr="00132E63" w:rsidRDefault="00D213B0" w:rsidP="000F66FB">
            <w:pPr>
              <w:rPr>
                <w:noProof/>
                <w:sz w:val="22"/>
              </w:rPr>
            </w:pPr>
            <w:r>
              <w:rPr>
                <w:iCs/>
                <w:noProof/>
                <w:sz w:val="22"/>
              </w:rPr>
              <w:t>I</w:t>
            </w:r>
            <w:r w:rsidR="000F66FB" w:rsidRPr="00132E63">
              <w:rPr>
                <w:iCs/>
                <w:noProof/>
                <w:sz w:val="22"/>
              </w:rPr>
              <w:t>ntervening early to reduce risk factors and increase protective factors that affect the development of offending behaviour; prevention and early intervention programs, social support programs</w:t>
            </w:r>
          </w:p>
        </w:tc>
        <w:tc>
          <w:tcPr>
            <w:tcW w:w="2843" w:type="dxa"/>
          </w:tcPr>
          <w:p w:rsidR="000F66FB" w:rsidRPr="00132E63" w:rsidRDefault="000F66FB" w:rsidP="000F66FB">
            <w:pPr>
              <w:rPr>
                <w:noProof/>
                <w:sz w:val="22"/>
              </w:rPr>
            </w:pPr>
            <w:r w:rsidRPr="00132E63">
              <w:rPr>
                <w:noProof/>
                <w:sz w:val="22"/>
              </w:rPr>
              <w:t>City of Whittlesea</w:t>
            </w:r>
          </w:p>
          <w:p w:rsidR="000C6AB8" w:rsidRPr="00132E63" w:rsidRDefault="000C6AB8" w:rsidP="000F66FB">
            <w:pPr>
              <w:rPr>
                <w:noProof/>
                <w:sz w:val="22"/>
              </w:rPr>
            </w:pPr>
            <w:r w:rsidRPr="00132E63">
              <w:rPr>
                <w:noProof/>
                <w:sz w:val="22"/>
              </w:rPr>
              <w:t>Northern Hospital</w:t>
            </w:r>
          </w:p>
          <w:p w:rsidR="000C6AB8" w:rsidRPr="00132E63" w:rsidRDefault="000C6AB8" w:rsidP="000F66FB">
            <w:pPr>
              <w:rPr>
                <w:noProof/>
                <w:sz w:val="22"/>
              </w:rPr>
            </w:pPr>
            <w:r w:rsidRPr="00132E63">
              <w:rPr>
                <w:noProof/>
                <w:sz w:val="22"/>
              </w:rPr>
              <w:t>Plenty Valley Community Health</w:t>
            </w:r>
          </w:p>
          <w:p w:rsidR="000C6AB8" w:rsidRPr="00132E63" w:rsidRDefault="000C6AB8" w:rsidP="000F66FB">
            <w:pPr>
              <w:rPr>
                <w:noProof/>
                <w:sz w:val="22"/>
              </w:rPr>
            </w:pPr>
            <w:r w:rsidRPr="00132E63">
              <w:rPr>
                <w:noProof/>
                <w:sz w:val="22"/>
              </w:rPr>
              <w:t>Uniting Care ReGen</w:t>
            </w:r>
          </w:p>
          <w:p w:rsidR="000F66FB" w:rsidRPr="00132E63" w:rsidRDefault="000C6AB8" w:rsidP="000F66FB">
            <w:pPr>
              <w:rPr>
                <w:noProof/>
                <w:sz w:val="22"/>
              </w:rPr>
            </w:pPr>
            <w:r w:rsidRPr="00132E63">
              <w:rPr>
                <w:noProof/>
                <w:sz w:val="22"/>
              </w:rPr>
              <w:t>Youth Support and Advocacy Service</w:t>
            </w:r>
          </w:p>
        </w:tc>
      </w:tr>
    </w:tbl>
    <w:p w:rsidR="000D69BC" w:rsidRDefault="000D69BC" w:rsidP="0075611B"/>
    <w:p w:rsidR="00FA1D09" w:rsidRDefault="00FA1D09" w:rsidP="0075611B">
      <w:pPr>
        <w:rPr>
          <w:rFonts w:eastAsiaTheme="majorEastAsia" w:cstheme="majorBidi"/>
          <w:b/>
          <w:bCs/>
          <w:color w:val="00A4E4"/>
          <w:sz w:val="44"/>
          <w:szCs w:val="28"/>
        </w:rPr>
      </w:pPr>
      <w:r>
        <w:br w:type="page"/>
      </w:r>
    </w:p>
    <w:p w:rsidR="00FB7F90" w:rsidRDefault="0092159B" w:rsidP="00D87898">
      <w:pPr>
        <w:pStyle w:val="Heading2"/>
      </w:pPr>
      <w:bookmarkStart w:id="29" w:name="_Toc477338745"/>
      <w:r>
        <w:t xml:space="preserve">Snapshot of </w:t>
      </w:r>
      <w:r w:rsidR="00B33EFD">
        <w:t xml:space="preserve">local </w:t>
      </w:r>
      <w:r w:rsidR="00D56725">
        <w:t>data</w:t>
      </w:r>
      <w:bookmarkEnd w:id="29"/>
    </w:p>
    <w:p w:rsidR="00D56725" w:rsidRPr="004461B7" w:rsidRDefault="00D56725" w:rsidP="00D87898">
      <w:pPr>
        <w:pStyle w:val="Heading3"/>
        <w:rPr>
          <w:rFonts w:eastAsiaTheme="majorEastAsia"/>
          <w:lang w:val="en-GB"/>
        </w:rPr>
      </w:pPr>
      <w:bookmarkStart w:id="30" w:name="_Toc477338746"/>
      <w:r w:rsidRPr="004461B7">
        <w:rPr>
          <w:rFonts w:eastAsiaTheme="majorEastAsia"/>
          <w:lang w:val="en-GB"/>
        </w:rPr>
        <w:t>Perceptions of safety</w:t>
      </w:r>
      <w:bookmarkEnd w:id="30"/>
    </w:p>
    <w:p w:rsidR="00886F77" w:rsidRDefault="00886F77" w:rsidP="00D56725">
      <w:pPr>
        <w:jc w:val="both"/>
      </w:pPr>
      <w:r w:rsidRPr="00CA709D">
        <w:t>Perceptions of neighbourhood safety are linked with health outcomes.  When individuals perceive their neighbourhood as unsafe they are less likely to engage in outdoor activities and exercise and are more likely to experience increased anxiety, poor health outcomes and poor self-rated health</w:t>
      </w:r>
      <w:r>
        <w:t>.</w:t>
      </w:r>
      <w:r w:rsidRPr="00CA709D">
        <w:rPr>
          <w:vertAlign w:val="superscript"/>
        </w:rPr>
        <w:endnoteReference w:id="11"/>
      </w:r>
      <w:r w:rsidRPr="0084168E">
        <w:t xml:space="preserve"> </w:t>
      </w:r>
      <w:r>
        <w:t xml:space="preserve"> Conversely, w</w:t>
      </w:r>
      <w:r w:rsidRPr="00CA709D">
        <w:t>hen individuals feel safe within their community, they are more likely to experience greater levels of social connection and trust, and are more likely to become engaged with other members of the community.</w:t>
      </w:r>
    </w:p>
    <w:p w:rsidR="00CD6B61" w:rsidRDefault="00CD6B61" w:rsidP="00D56725">
      <w:pPr>
        <w:jc w:val="both"/>
      </w:pPr>
    </w:p>
    <w:p w:rsidR="00D56725" w:rsidRDefault="00D56725" w:rsidP="00D56725">
      <w:pPr>
        <w:jc w:val="both"/>
      </w:pPr>
      <w:r>
        <w:t>The City of Whittlesea Annual Household Survey (2015)</w:t>
      </w:r>
      <w:r>
        <w:rPr>
          <w:rStyle w:val="EndnoteReference"/>
        </w:rPr>
        <w:endnoteReference w:id="12"/>
      </w:r>
      <w:r>
        <w:t xml:space="preserve"> outlined that overall, a</w:t>
      </w:r>
      <w:r w:rsidRPr="00AA2C6C">
        <w:t xml:space="preserve"> little less than one-third of respondents (30.9%) rated their perception of safety in public areas </w:t>
      </w:r>
      <w:r w:rsidRPr="00CB3930">
        <w:rPr>
          <w:u w:val="single"/>
        </w:rPr>
        <w:t>at night</w:t>
      </w:r>
      <w:r w:rsidRPr="00AA2C6C">
        <w:t xml:space="preserve"> as </w:t>
      </w:r>
      <w:r w:rsidR="00CB3930">
        <w:t>‘</w:t>
      </w:r>
      <w:r w:rsidRPr="00AA2C6C">
        <w:t>somewhat</w:t>
      </w:r>
      <w:r w:rsidR="00CB3930">
        <w:t xml:space="preserve"> safe’</w:t>
      </w:r>
      <w:r w:rsidRPr="00AA2C6C">
        <w:t xml:space="preserve"> or </w:t>
      </w:r>
      <w:r w:rsidR="00CB3930">
        <w:t>‘</w:t>
      </w:r>
      <w:r w:rsidRPr="00AA2C6C">
        <w:t>very safe</w:t>
      </w:r>
      <w:r w:rsidR="00CB3930">
        <w:t>’</w:t>
      </w:r>
      <w:r w:rsidRPr="00AA2C6C">
        <w:t xml:space="preserve">, whilst more than one-third (41.4%) rated their perception of safety </w:t>
      </w:r>
      <w:r w:rsidRPr="00CB3930">
        <w:rPr>
          <w:u w:val="single"/>
        </w:rPr>
        <w:t>at night</w:t>
      </w:r>
      <w:r w:rsidRPr="00AA2C6C">
        <w:t xml:space="preserve"> as </w:t>
      </w:r>
      <w:r w:rsidR="00CB3930">
        <w:t>‘</w:t>
      </w:r>
      <w:r w:rsidRPr="00AA2C6C">
        <w:t>somewhat</w:t>
      </w:r>
      <w:r w:rsidR="00CB3930">
        <w:t xml:space="preserve"> unsafe’</w:t>
      </w:r>
      <w:r w:rsidRPr="00AA2C6C">
        <w:t xml:space="preserve"> or </w:t>
      </w:r>
      <w:r w:rsidR="00CB3930">
        <w:t>‘</w:t>
      </w:r>
      <w:r w:rsidRPr="00AA2C6C">
        <w:t>very unsafe</w:t>
      </w:r>
      <w:r w:rsidR="00CB3930">
        <w:t>’</w:t>
      </w:r>
      <w:r w:rsidRPr="00AA2C6C">
        <w:t>.</w:t>
      </w:r>
      <w:r>
        <w:t xml:space="preserve"> </w:t>
      </w:r>
      <w:r w:rsidRPr="00AA2C6C">
        <w:t xml:space="preserve"> The</w:t>
      </w:r>
      <w:r w:rsidR="00CB3930">
        <w:t>ir</w:t>
      </w:r>
      <w:r w:rsidRPr="00AA2C6C">
        <w:t xml:space="preserve"> perception of safety in public areas </w:t>
      </w:r>
      <w:r w:rsidRPr="00CB3930">
        <w:rPr>
          <w:u w:val="single"/>
        </w:rPr>
        <w:t>during the day</w:t>
      </w:r>
      <w:r w:rsidRPr="00AA2C6C">
        <w:t xml:space="preserve"> was rated as </w:t>
      </w:r>
      <w:r w:rsidR="00CB3930">
        <w:t>‘</w:t>
      </w:r>
      <w:r w:rsidRPr="00AA2C6C">
        <w:t>somewhat</w:t>
      </w:r>
      <w:r w:rsidR="00CB3930">
        <w:t xml:space="preserve"> safe’</w:t>
      </w:r>
      <w:r w:rsidRPr="00AA2C6C">
        <w:t xml:space="preserve"> or </w:t>
      </w:r>
      <w:r w:rsidR="00CB3930">
        <w:t>‘</w:t>
      </w:r>
      <w:r w:rsidRPr="00AA2C6C">
        <w:t>very safe</w:t>
      </w:r>
      <w:r w:rsidR="00CB3930">
        <w:t>’</w:t>
      </w:r>
      <w:r w:rsidRPr="00AA2C6C">
        <w:t xml:space="preserve"> by a little more than two-thirds (69.6%) of respondents.</w:t>
      </w:r>
      <w:r>
        <w:t xml:space="preserve">  Women</w:t>
      </w:r>
      <w:r w:rsidRPr="00AA2C6C">
        <w:t xml:space="preserve">, children, older adults and non-English speaking respondents were slightly more likely to rate their </w:t>
      </w:r>
      <w:r w:rsidRPr="0062607E">
        <w:t xml:space="preserve">perception of safety </w:t>
      </w:r>
      <w:r w:rsidR="00CB3930">
        <w:t>at</w:t>
      </w:r>
      <w:r w:rsidRPr="0062607E">
        <w:t xml:space="preserve"> night in public areas as </w:t>
      </w:r>
      <w:r w:rsidR="00CB3930">
        <w:t>‘</w:t>
      </w:r>
      <w:r w:rsidRPr="0062607E">
        <w:t>unsafe</w:t>
      </w:r>
      <w:r w:rsidR="00CB3930">
        <w:t>’</w:t>
      </w:r>
      <w:r w:rsidRPr="0062607E">
        <w:t xml:space="preserve">.  </w:t>
      </w:r>
      <w:r>
        <w:t xml:space="preserve">Personal safety was identified as a barrier to visiting local open space by 13% of respondents.  Compared to the previous survey in 2014, there was a large increase in 2015 in the number of households nominating safety, policing, crime and drugs as an issue – 14% of respondents compared to 8% in 2014. </w:t>
      </w:r>
    </w:p>
    <w:p w:rsidR="00D56725" w:rsidRDefault="00D56725" w:rsidP="00D56725">
      <w:pPr>
        <w:jc w:val="both"/>
      </w:pPr>
    </w:p>
    <w:p w:rsidR="00D56725" w:rsidRPr="0062607E" w:rsidRDefault="00D56725" w:rsidP="00D56725">
      <w:pPr>
        <w:jc w:val="both"/>
      </w:pPr>
      <w:r>
        <w:t>This local data is supported by the Whittlesea Wellbeing Report</w:t>
      </w:r>
      <w:r>
        <w:rPr>
          <w:rStyle w:val="EndnoteReference"/>
        </w:rPr>
        <w:endnoteReference w:id="13"/>
      </w:r>
      <w:r>
        <w:t xml:space="preserve"> developed as part of the </w:t>
      </w:r>
      <w:proofErr w:type="spellStart"/>
      <w:r>
        <w:t>VicHealth</w:t>
      </w:r>
      <w:proofErr w:type="spellEnd"/>
      <w:r>
        <w:t xml:space="preserve"> Community Indicators Survey 2012 which outlines residents</w:t>
      </w:r>
      <w:r w:rsidR="00B9378D">
        <w:t>’</w:t>
      </w:r>
      <w:r>
        <w:t xml:space="preserve"> perception of safety (walking alone during the day) is </w:t>
      </w:r>
      <w:r w:rsidRPr="00F16FC8">
        <w:rPr>
          <w:i/>
        </w:rPr>
        <w:t>significantly lower</w:t>
      </w:r>
      <w:r>
        <w:t xml:space="preserve"> than State average and that residents</w:t>
      </w:r>
      <w:r w:rsidR="00B9378D">
        <w:t>’</w:t>
      </w:r>
      <w:r>
        <w:t xml:space="preserve"> perception of safety (walking alone during the night) is less favourable than the State average.</w:t>
      </w:r>
    </w:p>
    <w:p w:rsidR="00D56725" w:rsidRDefault="00D56725" w:rsidP="00D56725">
      <w:pPr>
        <w:jc w:val="both"/>
      </w:pPr>
    </w:p>
    <w:p w:rsidR="008F2455" w:rsidRPr="007A44CE" w:rsidRDefault="008F2455" w:rsidP="00D87898">
      <w:pPr>
        <w:pStyle w:val="Heading3"/>
        <w:rPr>
          <w:rFonts w:eastAsiaTheme="majorEastAsia"/>
          <w:lang w:val="en-GB"/>
        </w:rPr>
      </w:pPr>
      <w:bookmarkStart w:id="31" w:name="_Toc477338747"/>
      <w:r w:rsidRPr="007A44CE">
        <w:rPr>
          <w:rFonts w:eastAsiaTheme="majorEastAsia"/>
          <w:lang w:val="en-GB"/>
        </w:rPr>
        <w:t>Racism</w:t>
      </w:r>
      <w:bookmarkEnd w:id="31"/>
    </w:p>
    <w:p w:rsidR="00C43088" w:rsidRPr="007A44CE" w:rsidRDefault="00AD122C" w:rsidP="00D56725">
      <w:pPr>
        <w:jc w:val="both"/>
      </w:pPr>
      <w:r w:rsidRPr="007A44CE">
        <w:t>Discrimination on the basis of race, religion, culture or ethnicity is a common occurrence for many members of the Victorian community.  Racism can negatively impact a person’s ability to access resources and to positively contribute to the local community.  There is evidence of strong links between racism and poor mental and physical health</w:t>
      </w:r>
      <w:r w:rsidR="006523A5" w:rsidRPr="007A44CE">
        <w:t xml:space="preserve"> - </w:t>
      </w:r>
      <w:r w:rsidR="006523A5" w:rsidRPr="007A44CE">
        <w:rPr>
          <w:rFonts w:cs="Calibri"/>
          <w:color w:val="000000"/>
        </w:rPr>
        <w:t>experiencing racism in public spaces could be a barrier to using parks and open space and feeling engaged and accepted by the community more broadly</w:t>
      </w:r>
      <w:r w:rsidRPr="007A44CE">
        <w:t>.</w:t>
      </w:r>
      <w:r w:rsidR="00860A06" w:rsidRPr="007A44CE">
        <w:t xml:space="preserve">  </w:t>
      </w:r>
      <w:r w:rsidR="00F815F1" w:rsidRPr="007A44CE">
        <w:t xml:space="preserve">Research conducted by </w:t>
      </w:r>
      <w:proofErr w:type="spellStart"/>
      <w:r w:rsidR="00F815F1" w:rsidRPr="007A44CE">
        <w:t>VicHealth</w:t>
      </w:r>
      <w:proofErr w:type="spellEnd"/>
      <w:r w:rsidR="00860A06" w:rsidRPr="007A44CE">
        <w:rPr>
          <w:rStyle w:val="EndnoteReference"/>
        </w:rPr>
        <w:endnoteReference w:id="14"/>
      </w:r>
      <w:r w:rsidR="00F815F1" w:rsidRPr="007A44CE">
        <w:t xml:space="preserve"> in partnership with Melbourne University in </w:t>
      </w:r>
      <w:r w:rsidR="007A3AE6" w:rsidRPr="007A44CE">
        <w:t xml:space="preserve">2014 </w:t>
      </w:r>
      <w:r w:rsidR="00F815F1" w:rsidRPr="007A44CE">
        <w:t>found:</w:t>
      </w:r>
    </w:p>
    <w:p w:rsidR="00F815F1" w:rsidRPr="007A44CE" w:rsidRDefault="007A3AE6" w:rsidP="007A3AE6">
      <w:pPr>
        <w:pStyle w:val="ListParagraph"/>
        <w:numPr>
          <w:ilvl w:val="0"/>
          <w:numId w:val="19"/>
        </w:numPr>
        <w:jc w:val="both"/>
      </w:pPr>
      <w:r w:rsidRPr="007A44CE">
        <w:rPr>
          <w:b w:val="0"/>
        </w:rPr>
        <w:t>97% of those surveyed from the Victorian Aboriginal community had experienced racism in the previous 12 months and over 70% had experienced eight or more racist.</w:t>
      </w:r>
    </w:p>
    <w:p w:rsidR="007A3AE6" w:rsidRPr="007A44CE" w:rsidRDefault="007A3AE6" w:rsidP="007A3AE6">
      <w:pPr>
        <w:pStyle w:val="ListParagraph"/>
        <w:numPr>
          <w:ilvl w:val="0"/>
          <w:numId w:val="19"/>
        </w:numPr>
        <w:jc w:val="both"/>
      </w:pPr>
      <w:r w:rsidRPr="007A44CE">
        <w:rPr>
          <w:b w:val="0"/>
        </w:rPr>
        <w:t>Nearly two-thirds of those surveyed from CALD communities had experienced racism in the previous 12 months; with 40% experiencing six or more incidents.</w:t>
      </w:r>
    </w:p>
    <w:p w:rsidR="00F815F1" w:rsidRPr="007A44CE" w:rsidRDefault="00F815F1" w:rsidP="00D56725">
      <w:pPr>
        <w:jc w:val="both"/>
      </w:pPr>
    </w:p>
    <w:p w:rsidR="003D247D" w:rsidRPr="007A44CE" w:rsidRDefault="00C43088" w:rsidP="00D87898">
      <w:pPr>
        <w:pStyle w:val="Heading3"/>
        <w:rPr>
          <w:rFonts w:eastAsiaTheme="majorEastAsia"/>
          <w:lang w:val="en-GB"/>
        </w:rPr>
      </w:pPr>
      <w:bookmarkStart w:id="32" w:name="_Toc477338748"/>
      <w:r w:rsidRPr="007A44CE">
        <w:rPr>
          <w:rFonts w:eastAsiaTheme="majorEastAsia"/>
          <w:lang w:val="en-GB"/>
        </w:rPr>
        <w:t>Homelessness</w:t>
      </w:r>
      <w:bookmarkEnd w:id="32"/>
    </w:p>
    <w:p w:rsidR="00FA36AA" w:rsidRPr="007A44CE" w:rsidRDefault="00DF6F03" w:rsidP="00D56725">
      <w:pPr>
        <w:jc w:val="both"/>
      </w:pPr>
      <w:r w:rsidRPr="007A44CE">
        <w:t>Housing is a basic human need that contributes to individual and community safety, health and wellbeing.</w:t>
      </w:r>
      <w:r w:rsidR="00753A37" w:rsidRPr="007A44CE">
        <w:t xml:space="preserve">  </w:t>
      </w:r>
      <w:r w:rsidR="00FA36AA" w:rsidRPr="007A44CE">
        <w:t xml:space="preserve">Contributing factors to homelessness include family violence, </w:t>
      </w:r>
      <w:r w:rsidR="00BA2B57" w:rsidRPr="007A44CE">
        <w:t>family breakdown, financial difficulties</w:t>
      </w:r>
      <w:r w:rsidR="002C6E6B" w:rsidRPr="007A44CE">
        <w:t xml:space="preserve"> and</w:t>
      </w:r>
      <w:r w:rsidR="00BA2B57" w:rsidRPr="007A44CE">
        <w:t xml:space="preserve"> unemployment.</w:t>
      </w:r>
      <w:r w:rsidR="001F0395" w:rsidRPr="007A44CE">
        <w:t xml:space="preserve">  </w:t>
      </w:r>
      <w:r w:rsidR="004C7963" w:rsidRPr="007A44CE">
        <w:t xml:space="preserve">The homelessness population is more likely to be male; those </w:t>
      </w:r>
      <w:r w:rsidR="001F0395" w:rsidRPr="007A44CE">
        <w:t xml:space="preserve">‘sleeping rough’ </w:t>
      </w:r>
      <w:r w:rsidR="004C7963" w:rsidRPr="007A44CE">
        <w:t xml:space="preserve">are more likely to be male although </w:t>
      </w:r>
      <w:r w:rsidR="001F0395" w:rsidRPr="007A44CE">
        <w:t xml:space="preserve">females </w:t>
      </w:r>
      <w:r w:rsidR="004C7963" w:rsidRPr="007A44CE">
        <w:t xml:space="preserve">are more likely to be </w:t>
      </w:r>
      <w:r w:rsidR="001F0395" w:rsidRPr="007A44CE">
        <w:t>engaged in a specialist homelessness service</w:t>
      </w:r>
      <w:r w:rsidR="004C7963" w:rsidRPr="007A44CE">
        <w:t>.</w:t>
      </w:r>
      <w:r w:rsidR="008732C5" w:rsidRPr="007A44CE">
        <w:rPr>
          <w:rStyle w:val="EndnoteReference"/>
        </w:rPr>
        <w:endnoteReference w:id="15"/>
      </w:r>
    </w:p>
    <w:p w:rsidR="00DF6F03" w:rsidRDefault="00753A37" w:rsidP="00D56725">
      <w:pPr>
        <w:jc w:val="both"/>
      </w:pPr>
      <w:r w:rsidRPr="007A44CE">
        <w:t xml:space="preserve">The rate of homeless persons in Victoria in 2011 was 42.6 per 10,000 </w:t>
      </w:r>
      <w:proofErr w:type="gramStart"/>
      <w:r w:rsidRPr="007A44CE">
        <w:t>population</w:t>
      </w:r>
      <w:proofErr w:type="gramEnd"/>
      <w:r w:rsidRPr="007A44CE">
        <w:t>, compared to a national average of 48.9 per 10,000.</w:t>
      </w:r>
      <w:r w:rsidR="008732C5" w:rsidRPr="007A44CE">
        <w:rPr>
          <w:rStyle w:val="EndnoteReference"/>
        </w:rPr>
        <w:endnoteReference w:id="16"/>
      </w:r>
      <w:r w:rsidRPr="007A44CE">
        <w:t xml:space="preserve">  </w:t>
      </w:r>
      <w:r w:rsidR="00DF6F03" w:rsidRPr="007A44CE">
        <w:t>Data specific for the City of Whittlesea is not readily a</w:t>
      </w:r>
      <w:r w:rsidRPr="007A44CE">
        <w:t xml:space="preserve">vailable.  </w:t>
      </w:r>
      <w:r w:rsidR="00DF6F03" w:rsidRPr="007A44CE">
        <w:t xml:space="preserve">Specialist Homelessness Services </w:t>
      </w:r>
      <w:r w:rsidRPr="007A44CE">
        <w:t xml:space="preserve">that provide support to people who are homeless </w:t>
      </w:r>
      <w:r w:rsidR="00DF6F03" w:rsidRPr="007A44CE">
        <w:t xml:space="preserve">report </w:t>
      </w:r>
      <w:r w:rsidRPr="007A44CE">
        <w:t>difficulties keeping</w:t>
      </w:r>
      <w:r w:rsidR="00DF6F03" w:rsidRPr="007A44CE">
        <w:t xml:space="preserve"> up with the demand for housing and support services </w:t>
      </w:r>
      <w:r w:rsidRPr="007A44CE">
        <w:t xml:space="preserve">specifically </w:t>
      </w:r>
      <w:r w:rsidR="00DF6F03" w:rsidRPr="007A44CE">
        <w:t>for yo</w:t>
      </w:r>
      <w:r w:rsidR="002C6E6B" w:rsidRPr="007A44CE">
        <w:t xml:space="preserve">ung people in the municipality </w:t>
      </w:r>
      <w:r w:rsidR="00DF6F03" w:rsidRPr="007A44CE">
        <w:t>aged 16 – 24 years.</w:t>
      </w:r>
      <w:r w:rsidR="002C6E6B" w:rsidRPr="007A44CE">
        <w:rPr>
          <w:rStyle w:val="EndnoteReference"/>
        </w:rPr>
        <w:endnoteReference w:id="17"/>
      </w:r>
    </w:p>
    <w:p w:rsidR="00C43088" w:rsidRDefault="00C43088" w:rsidP="00D56725">
      <w:pPr>
        <w:jc w:val="both"/>
      </w:pPr>
    </w:p>
    <w:p w:rsidR="00D56725" w:rsidRPr="0075611B" w:rsidRDefault="00D56725" w:rsidP="00D87898">
      <w:pPr>
        <w:pStyle w:val="Heading3"/>
        <w:rPr>
          <w:rFonts w:eastAsiaTheme="majorEastAsia"/>
        </w:rPr>
      </w:pPr>
      <w:bookmarkStart w:id="33" w:name="_Toc477338749"/>
      <w:r w:rsidRPr="004461B7">
        <w:rPr>
          <w:rFonts w:eastAsiaTheme="majorEastAsia"/>
          <w:lang w:val="en-GB"/>
        </w:rPr>
        <w:t>Education and employment</w:t>
      </w:r>
      <w:bookmarkEnd w:id="33"/>
    </w:p>
    <w:p w:rsidR="0018483F" w:rsidRDefault="00FC3531" w:rsidP="00083766">
      <w:pPr>
        <w:jc w:val="both"/>
      </w:pPr>
      <w:r w:rsidRPr="00E02FF4">
        <w:t xml:space="preserve">The National Crime Prevention Framework identifies </w:t>
      </w:r>
      <w:r w:rsidR="00B9378D">
        <w:t>that the</w:t>
      </w:r>
      <w:r w:rsidRPr="00E02FF4">
        <w:t xml:space="preserve"> areas of greatest need for crime prevention interventions include communities with high rates of early school leaving and unemployment</w:t>
      </w:r>
      <w:r>
        <w:t>.</w:t>
      </w:r>
      <w:r w:rsidRPr="00661404">
        <w:rPr>
          <w:b/>
          <w:vertAlign w:val="superscript"/>
        </w:rPr>
        <w:endnoteReference w:id="18"/>
      </w:r>
      <w:r w:rsidRPr="0078110F">
        <w:t xml:space="preserve"> </w:t>
      </w:r>
      <w:r>
        <w:t xml:space="preserve"> </w:t>
      </w:r>
      <w:r w:rsidR="0018483F" w:rsidRPr="0018483F">
        <w:t xml:space="preserve">In </w:t>
      </w:r>
      <w:r w:rsidR="0018483F">
        <w:t xml:space="preserve">2015, the percentage of </w:t>
      </w:r>
      <w:r w:rsidR="00F16FC8">
        <w:t xml:space="preserve">the </w:t>
      </w:r>
      <w:r w:rsidR="0018483F">
        <w:t xml:space="preserve">population unemployed in the </w:t>
      </w:r>
      <w:r w:rsidR="00F16FC8">
        <w:t xml:space="preserve">City of </w:t>
      </w:r>
      <w:r w:rsidR="0029602A">
        <w:t xml:space="preserve">Whittlesea </w:t>
      </w:r>
      <w:r w:rsidR="0018483F">
        <w:t>was 7.4</w:t>
      </w:r>
      <w:r w:rsidR="0029602A">
        <w:t xml:space="preserve">% </w:t>
      </w:r>
      <w:r w:rsidR="0018483F">
        <w:t xml:space="preserve">for 25 to 44 year olds compared to 6.5% for the Northern </w:t>
      </w:r>
      <w:r w:rsidR="00F16FC8">
        <w:t xml:space="preserve">Metropolitan </w:t>
      </w:r>
      <w:r w:rsidR="0018483F">
        <w:t xml:space="preserve">Region </w:t>
      </w:r>
      <w:r w:rsidR="00F16FC8">
        <w:t xml:space="preserve">of Melbourne </w:t>
      </w:r>
      <w:r w:rsidR="0018483F">
        <w:t xml:space="preserve">and 5.7% for Victoria.  </w:t>
      </w:r>
      <w:r w:rsidR="0029602A">
        <w:t xml:space="preserve">For 45 to 64 year olds the percentage was </w:t>
      </w:r>
      <w:r w:rsidR="0018483F">
        <w:t>5.5</w:t>
      </w:r>
      <w:r w:rsidR="0029602A">
        <w:t>%</w:t>
      </w:r>
      <w:r w:rsidR="0018483F">
        <w:t xml:space="preserve"> compared to </w:t>
      </w:r>
      <w:r w:rsidR="0029602A">
        <w:t>5.1% for the Northern Metropolitan Region and 4.4% for Victoria.</w:t>
      </w:r>
      <w:r w:rsidR="0029602A">
        <w:rPr>
          <w:rStyle w:val="EndnoteReference"/>
        </w:rPr>
        <w:endnoteReference w:id="19"/>
      </w:r>
    </w:p>
    <w:p w:rsidR="0029602A" w:rsidRDefault="0029602A" w:rsidP="00083766">
      <w:pPr>
        <w:jc w:val="both"/>
      </w:pPr>
    </w:p>
    <w:p w:rsidR="0018483F" w:rsidRDefault="0029602A" w:rsidP="00D56725">
      <w:pPr>
        <w:jc w:val="both"/>
      </w:pPr>
      <w:r>
        <w:t xml:space="preserve">For young people aged 15 and 19 years old the percentage unemployed in 2015 increased to 32% from 25.9% in 2014; compared to 28% for the Northern Metropolitan Region and 21.5% for Victoria. </w:t>
      </w:r>
      <w:r w:rsidR="004F1512">
        <w:t xml:space="preserve"> For 20 to 24 year olds there are</w:t>
      </w:r>
      <w:r w:rsidR="001409F2">
        <w:t xml:space="preserve"> still higher rates of unemployment than the rest of the population in </w:t>
      </w:r>
      <w:r w:rsidR="004F1512">
        <w:t xml:space="preserve">the City of </w:t>
      </w:r>
      <w:r w:rsidR="00B9378D">
        <w:t>Whittlesea;</w:t>
      </w:r>
      <w:r w:rsidR="001409F2">
        <w:t xml:space="preserve"> in 2015 21.5% were unemployed, up from 19.2% in 2014; compared to 14.5% for the Northern Metropolitan Region and 12.8% for Victoria.</w:t>
      </w:r>
      <w:r w:rsidR="001409F2">
        <w:rPr>
          <w:rStyle w:val="EndnoteReference"/>
        </w:rPr>
        <w:endnoteReference w:id="20"/>
      </w:r>
      <w:r w:rsidR="003F0A40">
        <w:t xml:space="preserve">  </w:t>
      </w:r>
      <w:r w:rsidR="001409F2">
        <w:t>Data from 2011 reveals</w:t>
      </w:r>
      <w:r w:rsidR="0018483F" w:rsidRPr="0018483F">
        <w:t xml:space="preserve"> 9.2% of the City of Whittlesea's population aged 15 to 24 years were not employed or attending an educati</w:t>
      </w:r>
      <w:r w:rsidR="004F1512">
        <w:t>on institute compared to 7.4% for</w:t>
      </w:r>
      <w:r w:rsidR="0018483F" w:rsidRPr="0018483F">
        <w:t xml:space="preserve"> Greater Melbourne</w:t>
      </w:r>
      <w:r w:rsidR="0018483F" w:rsidRPr="001409F2">
        <w:t>.</w:t>
      </w:r>
      <w:r w:rsidR="001409F2" w:rsidRPr="001409F2">
        <w:t xml:space="preserve">  </w:t>
      </w:r>
      <w:r w:rsidR="001409F2">
        <w:t>Further, this data outlines t</w:t>
      </w:r>
      <w:r w:rsidR="001409F2" w:rsidRPr="001409F2">
        <w:t>here are considerably fewer residents with a bachelor degree or higher degree compared with Greater Melbourne (13.5% and 23.6%, respectively).</w:t>
      </w:r>
      <w:r w:rsidR="001409F2" w:rsidRPr="001409F2">
        <w:rPr>
          <w:rStyle w:val="EndnoteReference"/>
        </w:rPr>
        <w:endnoteReference w:id="21"/>
      </w:r>
    </w:p>
    <w:p w:rsidR="00083766" w:rsidRDefault="00083766" w:rsidP="00D56725">
      <w:pPr>
        <w:jc w:val="both"/>
        <w:rPr>
          <w:b/>
        </w:rPr>
      </w:pPr>
    </w:p>
    <w:p w:rsidR="00D56725" w:rsidRPr="004461B7" w:rsidRDefault="00D92078" w:rsidP="00D87898">
      <w:pPr>
        <w:pStyle w:val="Heading3"/>
        <w:rPr>
          <w:rFonts w:eastAsiaTheme="majorEastAsia"/>
          <w:lang w:val="en-GB"/>
        </w:rPr>
      </w:pPr>
      <w:bookmarkStart w:id="34" w:name="_Toc477338750"/>
      <w:r w:rsidRPr="004461B7">
        <w:rPr>
          <w:rFonts w:eastAsiaTheme="majorEastAsia"/>
          <w:lang w:val="en-GB"/>
        </w:rPr>
        <w:t xml:space="preserve">Early </w:t>
      </w:r>
      <w:r w:rsidR="00CD6B61" w:rsidRPr="004461B7">
        <w:rPr>
          <w:rFonts w:eastAsiaTheme="majorEastAsia"/>
          <w:lang w:val="en-GB"/>
        </w:rPr>
        <w:t xml:space="preserve">childhood </w:t>
      </w:r>
      <w:r w:rsidRPr="004461B7">
        <w:rPr>
          <w:rFonts w:eastAsiaTheme="majorEastAsia"/>
          <w:lang w:val="en-GB"/>
        </w:rPr>
        <w:t xml:space="preserve">and </w:t>
      </w:r>
      <w:r w:rsidR="00CD6B61" w:rsidRPr="004461B7">
        <w:rPr>
          <w:rFonts w:eastAsiaTheme="majorEastAsia"/>
          <w:lang w:val="en-GB"/>
        </w:rPr>
        <w:t>M</w:t>
      </w:r>
      <w:r w:rsidRPr="004461B7">
        <w:rPr>
          <w:rFonts w:eastAsiaTheme="majorEastAsia"/>
          <w:lang w:val="en-GB"/>
        </w:rPr>
        <w:t xml:space="preserve">iddle </w:t>
      </w:r>
      <w:r w:rsidR="00CD6B61" w:rsidRPr="004461B7">
        <w:rPr>
          <w:rFonts w:eastAsiaTheme="majorEastAsia"/>
          <w:lang w:val="en-GB"/>
        </w:rPr>
        <w:t>years’</w:t>
      </w:r>
      <w:r w:rsidRPr="004461B7">
        <w:rPr>
          <w:rFonts w:eastAsiaTheme="majorEastAsia"/>
          <w:lang w:val="en-GB"/>
        </w:rPr>
        <w:t xml:space="preserve"> d</w:t>
      </w:r>
      <w:r w:rsidR="00D56725" w:rsidRPr="004461B7">
        <w:rPr>
          <w:rFonts w:eastAsiaTheme="majorEastAsia"/>
          <w:lang w:val="en-GB"/>
        </w:rPr>
        <w:t>evelopment</w:t>
      </w:r>
      <w:bookmarkEnd w:id="34"/>
    </w:p>
    <w:p w:rsidR="004143D1" w:rsidRDefault="00FC3531" w:rsidP="004143D1">
      <w:pPr>
        <w:jc w:val="both"/>
      </w:pPr>
      <w:r w:rsidRPr="00D92078">
        <w:t xml:space="preserve">Children's sense of safety and belonging at school has been shown to foster school success in many ways. </w:t>
      </w:r>
      <w:r>
        <w:t xml:space="preserve"> </w:t>
      </w:r>
      <w:r w:rsidRPr="00D92078">
        <w:t>When children feel their needs are being met at school, they are more likely to feel attached to their school.</w:t>
      </w:r>
      <w:r>
        <w:t xml:space="preserve"> </w:t>
      </w:r>
      <w:r w:rsidRPr="00D92078">
        <w:t xml:space="preserve"> In turn, children who feel more attached to their school have better attendance and higher academic performance. </w:t>
      </w:r>
      <w:r>
        <w:t xml:space="preserve"> </w:t>
      </w:r>
      <w:r w:rsidRPr="00D92078">
        <w:t>These children are also less likely to engage in high-risk behaviours.</w:t>
      </w:r>
      <w:r>
        <w:rPr>
          <w:rStyle w:val="EndnoteReference"/>
        </w:rPr>
        <w:endnoteReference w:id="22"/>
      </w:r>
      <w:r w:rsidR="00C06AB3">
        <w:t xml:space="preserve">  The </w:t>
      </w:r>
      <w:r w:rsidR="004D615E">
        <w:t>Australian</w:t>
      </w:r>
      <w:r w:rsidR="00C06AB3">
        <w:t xml:space="preserve"> Early Development Census </w:t>
      </w:r>
      <w:r w:rsidR="00045FB0">
        <w:t xml:space="preserve">(AEDC) </w:t>
      </w:r>
      <w:r w:rsidR="005251DD">
        <w:t xml:space="preserve">measures </w:t>
      </w:r>
      <w:r w:rsidR="005251DD" w:rsidRPr="005251DD">
        <w:t>children's health and development in their first year of full-time school.</w:t>
      </w:r>
      <w:r w:rsidR="005251DD">
        <w:t xml:space="preserve">  </w:t>
      </w:r>
      <w:r w:rsidR="004143D1">
        <w:t>The domains are: physical health and wellbeing; social competence; emotional maturity; language and cognitive skills; communication skills and general knowledge. Taken together, these domains provide a holistic picture of</w:t>
      </w:r>
      <w:r w:rsidR="00345106">
        <w:t xml:space="preserve"> </w:t>
      </w:r>
      <w:r w:rsidR="004143D1">
        <w:t xml:space="preserve">children’s development and are important predictors of later health, wellbeing, and academic achievement.  </w:t>
      </w:r>
      <w:r w:rsidR="00345106">
        <w:t>Investment in</w:t>
      </w:r>
      <w:r w:rsidR="004143D1">
        <w:t xml:space="preserve"> early and middle years </w:t>
      </w:r>
      <w:r w:rsidR="00345106">
        <w:t xml:space="preserve">during key transitions is a key social crime prevention approach. </w:t>
      </w:r>
    </w:p>
    <w:p w:rsidR="004143D1" w:rsidRDefault="004143D1" w:rsidP="004143D1">
      <w:pPr>
        <w:jc w:val="both"/>
      </w:pPr>
    </w:p>
    <w:p w:rsidR="00C06AB3" w:rsidRDefault="005A4C9D" w:rsidP="005A4C9D">
      <w:pPr>
        <w:jc w:val="both"/>
      </w:pPr>
      <w:r w:rsidRPr="005A4C9D">
        <w:t>The AEDC highlights what is</w:t>
      </w:r>
      <w:r>
        <w:t xml:space="preserve"> </w:t>
      </w:r>
      <w:r w:rsidRPr="005A4C9D">
        <w:t>working well and what needs to be improved or developed</w:t>
      </w:r>
      <w:r>
        <w:t xml:space="preserve"> </w:t>
      </w:r>
      <w:r w:rsidRPr="005A4C9D">
        <w:t xml:space="preserve">to support children and their families. </w:t>
      </w:r>
      <w:r>
        <w:t xml:space="preserve"> </w:t>
      </w:r>
      <w:r w:rsidR="005251DD">
        <w:t xml:space="preserve">Data for </w:t>
      </w:r>
      <w:r w:rsidR="004D615E">
        <w:t xml:space="preserve">2015 outlines that City of Whittlesea children are </w:t>
      </w:r>
      <w:r w:rsidR="00C06AB3" w:rsidRPr="00182AD9">
        <w:rPr>
          <w:i/>
        </w:rPr>
        <w:t>slightly more likely</w:t>
      </w:r>
      <w:r w:rsidR="00C06AB3">
        <w:t xml:space="preserve"> to be developmentally vulnerable on one or more domains, 20.9% compared to 19.9% for Victoria and; </w:t>
      </w:r>
      <w:r w:rsidR="00C06AB3" w:rsidRPr="00182AD9">
        <w:rPr>
          <w:i/>
        </w:rPr>
        <w:t>slightly less likely</w:t>
      </w:r>
      <w:r w:rsidR="00C06AB3">
        <w:t xml:space="preserve"> to be vulnerable on two or mo</w:t>
      </w:r>
      <w:r w:rsidR="005251DD">
        <w:t>re domains, 9.7% compared to 9.9</w:t>
      </w:r>
      <w:r w:rsidR="00C06AB3">
        <w:t>% for Victoria.</w:t>
      </w:r>
      <w:r w:rsidR="00C06AB3" w:rsidRPr="00CD3672">
        <w:rPr>
          <w:vertAlign w:val="superscript"/>
        </w:rPr>
        <w:endnoteReference w:id="23"/>
      </w:r>
      <w:r w:rsidR="00C06AB3">
        <w:t xml:space="preserve">  Children developmentally vulnerable </w:t>
      </w:r>
      <w:r w:rsidR="006D1297">
        <w:t>will experience a number of challenges in reading/writing, physical, emotional regulation, social and communication skills.</w:t>
      </w:r>
      <w:r w:rsidR="006D1297">
        <w:rPr>
          <w:rStyle w:val="EndnoteReference"/>
        </w:rPr>
        <w:endnoteReference w:id="24"/>
      </w:r>
    </w:p>
    <w:p w:rsidR="00C06AB3" w:rsidRDefault="00C06AB3" w:rsidP="008A29DB">
      <w:pPr>
        <w:jc w:val="both"/>
      </w:pPr>
    </w:p>
    <w:p w:rsidR="00C06AB3" w:rsidRDefault="005A4C9D" w:rsidP="00C06AB3">
      <w:pPr>
        <w:jc w:val="both"/>
      </w:pPr>
      <w:r>
        <w:t>The time between 8 to 14 years is a period of important cogniti</w:t>
      </w:r>
      <w:r w:rsidR="00182AD9">
        <w:t>ve, social and emotional change</w:t>
      </w:r>
      <w:r>
        <w:t xml:space="preserve">s that establish their identity and set the stage for development in adolescence and adulthood.  </w:t>
      </w:r>
      <w:r w:rsidR="00C06AB3">
        <w:t>The Middle Years Development Instrument Well-Being Index is a com</w:t>
      </w:r>
      <w:r w:rsidR="00182AD9">
        <w:t>posite score of five dimensions:</w:t>
      </w:r>
      <w:r w:rsidR="00C06AB3">
        <w:t xml:space="preserve"> optimism</w:t>
      </w:r>
      <w:r w:rsidR="00182AD9">
        <w:t>;</w:t>
      </w:r>
      <w:r w:rsidR="00C06AB3">
        <w:t xml:space="preserve"> happiness</w:t>
      </w:r>
      <w:r w:rsidR="00182AD9">
        <w:t>;</w:t>
      </w:r>
      <w:r w:rsidR="00C06AB3">
        <w:t xml:space="preserve"> self-esteem</w:t>
      </w:r>
      <w:r w:rsidR="00182AD9">
        <w:t>;</w:t>
      </w:r>
      <w:r w:rsidR="00C06AB3">
        <w:t xml:space="preserve"> general health and absence of sadness.</w:t>
      </w:r>
      <w:r w:rsidR="00382C68">
        <w:rPr>
          <w:rStyle w:val="EndnoteReference"/>
        </w:rPr>
        <w:endnoteReference w:id="25"/>
      </w:r>
      <w:r w:rsidR="00C06AB3">
        <w:t xml:space="preserve">  </w:t>
      </w:r>
      <w:r w:rsidR="00382C68" w:rsidRPr="00382C68">
        <w:rPr>
          <w:lang w:val="en"/>
        </w:rPr>
        <w:t>The survey was developed in Canada and was trialed in Australia in 2013, with more than 6000 students from South Australia and Victoria taking part.</w:t>
      </w:r>
      <w:r w:rsidR="00382C68" w:rsidRPr="00382C68">
        <w:t xml:space="preserve"> </w:t>
      </w:r>
      <w:r w:rsidR="00382C68">
        <w:t xml:space="preserve"> </w:t>
      </w:r>
      <w:r w:rsidR="00C06AB3">
        <w:t xml:space="preserve">The report for </w:t>
      </w:r>
      <w:r w:rsidR="00182AD9">
        <w:t xml:space="preserve">the </w:t>
      </w:r>
      <w:r>
        <w:t xml:space="preserve">City of Whittlesea </w:t>
      </w:r>
      <w:r w:rsidR="00C06AB3">
        <w:t>shows 47% of Year 5 student respondents were rated as “thriving”, a further 25% rated “medium to high well-being” and 28% rated “low well-being”</w:t>
      </w:r>
      <w:r>
        <w:t>; compared to South Australian data where 40% were rated as “thriving”, 28% as “medium to high well-being” and 32% as “low wellbeing”.</w:t>
      </w:r>
      <w:r w:rsidR="00C06AB3">
        <w:rPr>
          <w:rStyle w:val="EndnoteReference"/>
        </w:rPr>
        <w:endnoteReference w:id="26"/>
      </w:r>
    </w:p>
    <w:p w:rsidR="00F02625" w:rsidRDefault="00F02625" w:rsidP="00C06AB3">
      <w:pPr>
        <w:jc w:val="both"/>
      </w:pPr>
      <w:r>
        <w:rPr>
          <w:noProof/>
        </w:rPr>
        <w:drawing>
          <wp:inline distT="0" distB="0" distL="0" distR="0" wp14:anchorId="29E29AB8" wp14:editId="755640EF">
            <wp:extent cx="5278120" cy="4531459"/>
            <wp:effectExtent l="0" t="0" r="0" b="2540"/>
            <wp:docPr id="4" name="Picture 4" descr="47% Year 5 students are thriving.&#10;20.9% vulnerable one domain.&#10;9.7% vulnerable two do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8120" cy="4531459"/>
                    </a:xfrm>
                    <a:prstGeom prst="rect">
                      <a:avLst/>
                    </a:prstGeom>
                  </pic:spPr>
                </pic:pic>
              </a:graphicData>
            </a:graphic>
          </wp:inline>
        </w:drawing>
      </w:r>
    </w:p>
    <w:p w:rsidR="00045FB0" w:rsidRDefault="00045FB0" w:rsidP="00D56725">
      <w:pPr>
        <w:jc w:val="both"/>
      </w:pPr>
    </w:p>
    <w:p w:rsidR="00A825D4" w:rsidRPr="004461B7" w:rsidRDefault="00A825D4" w:rsidP="00D87898">
      <w:pPr>
        <w:pStyle w:val="Heading3"/>
        <w:rPr>
          <w:rFonts w:eastAsiaTheme="majorEastAsia"/>
          <w:lang w:val="en-GB"/>
        </w:rPr>
      </w:pPr>
      <w:bookmarkStart w:id="35" w:name="_Toc477338751"/>
      <w:r w:rsidRPr="004461B7">
        <w:rPr>
          <w:rFonts w:eastAsiaTheme="majorEastAsia"/>
          <w:lang w:val="en-GB"/>
        </w:rPr>
        <w:t>Socio-economic status</w:t>
      </w:r>
      <w:bookmarkEnd w:id="35"/>
    </w:p>
    <w:p w:rsidR="00466815" w:rsidRDefault="006111E8" w:rsidP="006111E8">
      <w:pPr>
        <w:tabs>
          <w:tab w:val="num" w:pos="720"/>
        </w:tabs>
        <w:jc w:val="both"/>
      </w:pPr>
      <w:r>
        <w:t>The Australian Bureau of Statistics broadly defines relative socio-economic advantage and disadvantage in terms of “people's access to material and social resources, and their ability to participate in society”.</w:t>
      </w:r>
      <w:r>
        <w:rPr>
          <w:rStyle w:val="EndnoteReference"/>
        </w:rPr>
        <w:endnoteReference w:id="27"/>
      </w:r>
      <w:r>
        <w:t xml:space="preserve"> </w:t>
      </w:r>
      <w:r w:rsidR="008F2FF6">
        <w:t xml:space="preserve"> The Socio-E</w:t>
      </w:r>
      <w:r>
        <w:t xml:space="preserve">conomic Indexes for </w:t>
      </w:r>
      <w:r w:rsidRPr="00755F65">
        <w:t>Areas (SEIFA)</w:t>
      </w:r>
      <w:r w:rsidR="00466815">
        <w:t xml:space="preserve"> </w:t>
      </w:r>
      <w:r w:rsidR="008A0779">
        <w:t xml:space="preserve">are </w:t>
      </w:r>
      <w:r w:rsidR="00182AD9">
        <w:t xml:space="preserve">also </w:t>
      </w:r>
      <w:r w:rsidR="008A0779">
        <w:t xml:space="preserve">used in models to assess risk </w:t>
      </w:r>
      <w:r w:rsidR="001B3362">
        <w:t>factors</w:t>
      </w:r>
      <w:r w:rsidR="00DA4640">
        <w:t xml:space="preserve"> for and</w:t>
      </w:r>
      <w:r w:rsidR="001B3362">
        <w:t xml:space="preserve"> </w:t>
      </w:r>
      <w:r w:rsidR="00DA4640">
        <w:t xml:space="preserve">impacts of crime.  </w:t>
      </w:r>
      <w:r w:rsidR="00466815">
        <w:t>SEIFA</w:t>
      </w:r>
      <w:r>
        <w:t xml:space="preserve"> </w:t>
      </w:r>
      <w:r w:rsidR="00466815" w:rsidRPr="00466815">
        <w:t xml:space="preserve">ranks geographic areas across Australia in terms of their relative socio-economic advantage and disadvantage. </w:t>
      </w:r>
      <w:r w:rsidR="00466815">
        <w:t xml:space="preserve"> </w:t>
      </w:r>
      <w:r w:rsidR="00466815" w:rsidRPr="00466815">
        <w:t>The four indexes each summarise a slightly different aspect of the socio-economic conditions in an area.</w:t>
      </w:r>
      <w:r w:rsidR="0040293D">
        <w:t xml:space="preserve">  </w:t>
      </w:r>
      <w:r w:rsidR="00D60AAD">
        <w:t xml:space="preserve">There </w:t>
      </w:r>
      <w:r w:rsidR="0040293D">
        <w:t>are two general indexes of socio-economic disadvantage, an index for economic resources and an index for education and occupation.</w:t>
      </w:r>
    </w:p>
    <w:p w:rsidR="00D60AAD" w:rsidRDefault="00D60AAD" w:rsidP="006111E8">
      <w:pPr>
        <w:tabs>
          <w:tab w:val="num" w:pos="720"/>
        </w:tabs>
        <w:jc w:val="both"/>
      </w:pPr>
    </w:p>
    <w:p w:rsidR="00D14F45" w:rsidRPr="00D14F45" w:rsidRDefault="00DA4640" w:rsidP="006111E8">
      <w:pPr>
        <w:tabs>
          <w:tab w:val="num" w:pos="720"/>
        </w:tabs>
        <w:jc w:val="both"/>
      </w:pPr>
      <w:r>
        <w:t xml:space="preserve">SEIFA data from </w:t>
      </w:r>
      <w:r w:rsidR="00A825D4" w:rsidRPr="00755F65">
        <w:t>2011 shows considerable socio-economic disadvantage within the City of Whittlesea.</w:t>
      </w:r>
      <w:r w:rsidR="00083766">
        <w:t xml:space="preserve">  </w:t>
      </w:r>
      <w:r w:rsidR="00A825D4" w:rsidRPr="00755F65">
        <w:t xml:space="preserve">With a score of 989 on the Index of Relative Socio-Economic Disadvantage (IRSD), </w:t>
      </w:r>
      <w:r w:rsidR="00083766">
        <w:t>the</w:t>
      </w:r>
      <w:r w:rsidR="00A825D4" w:rsidRPr="00755F65">
        <w:t xml:space="preserve"> municipality is the 38th most disadvantaged LGA in Victoria and the 6th most disadvantaged in Metropolitan Melbourne.</w:t>
      </w:r>
      <w:r w:rsidR="00A825D4" w:rsidRPr="00E3068F">
        <w:rPr>
          <w:rStyle w:val="EndnoteReference"/>
          <w:bCs/>
          <w:sz w:val="22"/>
          <w:lang w:eastAsia="en-US"/>
        </w:rPr>
        <w:endnoteReference w:id="28"/>
      </w:r>
      <w:r w:rsidR="00F804E1" w:rsidRPr="00F804E1">
        <w:rPr>
          <w:rFonts w:ascii="Times New Roman" w:hAnsi="Times New Roman"/>
          <w:color w:val="000000"/>
        </w:rPr>
        <w:t xml:space="preserve"> </w:t>
      </w:r>
      <w:r w:rsidR="00D14F45">
        <w:rPr>
          <w:rFonts w:ascii="Times New Roman" w:hAnsi="Times New Roman"/>
          <w:color w:val="000000"/>
        </w:rPr>
        <w:t xml:space="preserve"> </w:t>
      </w:r>
      <w:r w:rsidR="00D14F45">
        <w:t>This score</w:t>
      </w:r>
      <w:r w:rsidR="00D14F45" w:rsidRPr="00D14F45">
        <w:t xml:space="preserve"> indicates relatively greater disadvantage in general. </w:t>
      </w:r>
      <w:r w:rsidR="00D14F45">
        <w:t xml:space="preserve"> </w:t>
      </w:r>
      <w:r w:rsidR="00D14F45" w:rsidRPr="00D14F45">
        <w:t>For example,</w:t>
      </w:r>
      <w:r w:rsidR="00B9378D">
        <w:t xml:space="preserve"> there are</w:t>
      </w:r>
      <w:r w:rsidR="00D14F45">
        <w:t xml:space="preserve"> </w:t>
      </w:r>
      <w:r w:rsidR="00D14F45" w:rsidRPr="00D14F45">
        <w:t>many households with low income, many people with no qualifications, or many people in low skilled occupations.</w:t>
      </w:r>
      <w:r w:rsidR="00D14F45">
        <w:t xml:space="preserve"> </w:t>
      </w:r>
    </w:p>
    <w:p w:rsidR="00F804E1" w:rsidRDefault="00F804E1" w:rsidP="00F804E1">
      <w:pPr>
        <w:tabs>
          <w:tab w:val="num" w:pos="720"/>
        </w:tabs>
        <w:jc w:val="both"/>
      </w:pPr>
    </w:p>
    <w:p w:rsidR="00936D4A" w:rsidRDefault="00936D4A">
      <w:r>
        <w:br w:type="page"/>
      </w:r>
    </w:p>
    <w:p w:rsidR="00936D4A" w:rsidRPr="00F804E1" w:rsidRDefault="00936D4A" w:rsidP="00F804E1">
      <w:pPr>
        <w:tabs>
          <w:tab w:val="num" w:pos="720"/>
        </w:tabs>
        <w:jc w:val="both"/>
      </w:pPr>
    </w:p>
    <w:p w:rsidR="008E667C" w:rsidRPr="004461B7" w:rsidRDefault="00A825D4" w:rsidP="00D87898">
      <w:pPr>
        <w:pStyle w:val="Heading3"/>
        <w:rPr>
          <w:rFonts w:eastAsiaTheme="majorEastAsia"/>
          <w:lang w:val="en-GB"/>
        </w:rPr>
      </w:pPr>
      <w:bookmarkStart w:id="36" w:name="_Toc477338752"/>
      <w:r w:rsidRPr="004461B7">
        <w:rPr>
          <w:rFonts w:eastAsiaTheme="majorEastAsia"/>
          <w:lang w:val="en-GB"/>
        </w:rPr>
        <w:t>Financial vulnerability</w:t>
      </w:r>
      <w:bookmarkEnd w:id="36"/>
      <w:r w:rsidRPr="004461B7">
        <w:rPr>
          <w:rFonts w:eastAsiaTheme="majorEastAsia"/>
          <w:lang w:val="en-GB"/>
        </w:rPr>
        <w:t xml:space="preserve"> </w:t>
      </w:r>
    </w:p>
    <w:p w:rsidR="00330FB2" w:rsidRDefault="00DA67B9" w:rsidP="00A825D4">
      <w:pPr>
        <w:jc w:val="both"/>
      </w:pPr>
      <w:r>
        <w:t>Local contextual factors including financial vulnerability have been highlighted in data analysis and consultations.  T</w:t>
      </w:r>
      <w:r w:rsidR="00330FB2">
        <w:t>he high rates of residents with outstanding warrants</w:t>
      </w:r>
      <w:r w:rsidR="00330FB2" w:rsidRPr="0071706E">
        <w:rPr>
          <w:vertAlign w:val="superscript"/>
        </w:rPr>
        <w:footnoteReference w:id="1"/>
      </w:r>
      <w:r w:rsidR="00330FB2">
        <w:t xml:space="preserve"> </w:t>
      </w:r>
      <w:r w:rsidR="006229D4">
        <w:t>(</w:t>
      </w:r>
      <w:r w:rsidR="006229D4" w:rsidRPr="0071706E">
        <w:t>12.7%</w:t>
      </w:r>
      <w:r w:rsidR="006229D4">
        <w:t>)</w:t>
      </w:r>
      <w:r w:rsidR="006229D4" w:rsidRPr="0071706E">
        <w:t xml:space="preserve"> </w:t>
      </w:r>
      <w:r w:rsidR="00330FB2">
        <w:t>and infringement notices</w:t>
      </w:r>
      <w:r w:rsidR="00330FB2" w:rsidRPr="0071706E">
        <w:rPr>
          <w:vertAlign w:val="superscript"/>
        </w:rPr>
        <w:footnoteReference w:id="2"/>
      </w:r>
      <w:r w:rsidR="006229D4">
        <w:t xml:space="preserve"> (</w:t>
      </w:r>
      <w:r w:rsidRPr="0071706E">
        <w:t>14.4%</w:t>
      </w:r>
      <w:r w:rsidR="006229D4">
        <w:t>)</w:t>
      </w:r>
      <w:r w:rsidR="00330FB2">
        <w:t xml:space="preserve"> of those issued in </w:t>
      </w:r>
      <w:r>
        <w:t>the Northern Metropolitan Region</w:t>
      </w:r>
      <w:r w:rsidR="00330FB2">
        <w:t xml:space="preserve"> </w:t>
      </w:r>
      <w:r w:rsidR="006229D4">
        <w:t>(</w:t>
      </w:r>
      <w:r w:rsidR="00330FB2">
        <w:t>2010-2011)</w:t>
      </w:r>
      <w:r w:rsidR="00182AD9" w:rsidRPr="0071706E">
        <w:rPr>
          <w:rStyle w:val="EndnoteReference"/>
        </w:rPr>
        <w:endnoteReference w:id="29"/>
      </w:r>
      <w:r>
        <w:t xml:space="preserve"> contribute to higher crime rates for the municipality</w:t>
      </w:r>
      <w:r w:rsidR="006229D4">
        <w:t xml:space="preserve">. </w:t>
      </w:r>
      <w:r>
        <w:t xml:space="preserve"> </w:t>
      </w:r>
      <w:r w:rsidR="006229D4">
        <w:t xml:space="preserve">Local stakeholder consultation </w:t>
      </w:r>
      <w:r w:rsidR="00E22475">
        <w:t>determines</w:t>
      </w:r>
      <w:r w:rsidR="006229D4">
        <w:t xml:space="preserve"> this </w:t>
      </w:r>
      <w:r>
        <w:t>is both a contributor</w:t>
      </w:r>
      <w:r w:rsidR="006229D4">
        <w:t xml:space="preserve"> </w:t>
      </w:r>
      <w:r>
        <w:t xml:space="preserve">and an outcome of financial vulnerability. </w:t>
      </w:r>
      <w:r w:rsidR="006229D4">
        <w:t xml:space="preserve"> Additionally, there are other local financial vulnerabilities that could</w:t>
      </w:r>
      <w:r w:rsidR="001E2C2B">
        <w:t xml:space="preserve"> be contributing to increased risk factors for crime.</w:t>
      </w:r>
      <w:r w:rsidR="001E2C2B">
        <w:rPr>
          <w:rStyle w:val="EndnoteReference"/>
          <w:lang w:val="en-GB"/>
        </w:rPr>
        <w:endnoteReference w:id="30"/>
      </w:r>
      <w:r w:rsidR="001E2C2B">
        <w:rPr>
          <w:lang w:val="en-GB"/>
        </w:rPr>
        <w:t xml:space="preserve"> </w:t>
      </w:r>
      <w:r w:rsidR="00082FC1" w:rsidRPr="00E3068F">
        <w:rPr>
          <w:rStyle w:val="EndnoteReference"/>
          <w:sz w:val="22"/>
          <w:lang w:eastAsia="en-US"/>
        </w:rPr>
        <w:endnoteReference w:id="31"/>
      </w:r>
      <w:r w:rsidR="001E2C2B" w:rsidRPr="008E667C">
        <w:rPr>
          <w:lang w:val="en-GB"/>
        </w:rPr>
        <w:t xml:space="preserve"> </w:t>
      </w:r>
      <w:r w:rsidR="00082FC1">
        <w:rPr>
          <w:rStyle w:val="EndnoteReference"/>
          <w:sz w:val="22"/>
        </w:rPr>
        <w:endnoteReference w:id="32"/>
      </w:r>
      <w:r w:rsidR="001E2C2B">
        <w:t xml:space="preserve"> </w:t>
      </w:r>
    </w:p>
    <w:p w:rsidR="002C6633" w:rsidRDefault="00737947" w:rsidP="002C6633">
      <w:pPr>
        <w:jc w:val="both"/>
      </w:pPr>
      <w:r>
        <w:rPr>
          <w:noProof/>
        </w:rPr>
        <w:drawing>
          <wp:inline distT="0" distB="0" distL="0" distR="0" wp14:anchorId="09060498" wp14:editId="46EAE0C2">
            <wp:extent cx="5278120" cy="4080931"/>
            <wp:effectExtent l="0" t="0" r="0" b="0"/>
            <wp:docPr id="6" name="Picture 6" descr="12.6% pay more than 30% of their income on rent or a mortgage.&#10;$278,485 lost every day on electronic gaming machines.&#10;6.2% have run out of food in past 12 months and cannot afford to buy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8120" cy="4080931"/>
                    </a:xfrm>
                    <a:prstGeom prst="rect">
                      <a:avLst/>
                    </a:prstGeom>
                  </pic:spPr>
                </pic:pic>
              </a:graphicData>
            </a:graphic>
          </wp:inline>
        </w:drawing>
      </w:r>
    </w:p>
    <w:p w:rsidR="00936D4A" w:rsidRPr="002C6633" w:rsidRDefault="00936D4A" w:rsidP="002C6633">
      <w:pPr>
        <w:jc w:val="both"/>
      </w:pPr>
    </w:p>
    <w:p w:rsidR="00061C1E" w:rsidRPr="004461B7" w:rsidRDefault="00FC39E1" w:rsidP="00D87898">
      <w:pPr>
        <w:pStyle w:val="Heading3"/>
        <w:rPr>
          <w:rFonts w:eastAsiaTheme="majorEastAsia"/>
          <w:lang w:val="en-GB"/>
        </w:rPr>
      </w:pPr>
      <w:bookmarkStart w:id="37" w:name="_Toc477338753"/>
      <w:r>
        <w:rPr>
          <w:rFonts w:eastAsiaTheme="majorEastAsia"/>
          <w:lang w:val="en-GB"/>
        </w:rPr>
        <w:t>Alcohol and illicit drugs</w:t>
      </w:r>
      <w:bookmarkEnd w:id="37"/>
    </w:p>
    <w:p w:rsidR="00BA5F2A" w:rsidRPr="00366D7D" w:rsidRDefault="00BA5F2A" w:rsidP="00BA5F2A">
      <w:pPr>
        <w:jc w:val="both"/>
      </w:pPr>
      <w:r w:rsidRPr="00366D7D">
        <w:t>Victoria Police data highlights the relationship between alcohol and crime</w:t>
      </w:r>
      <w:r w:rsidR="00936D4A">
        <w:t xml:space="preserve"> (Figure 2)</w:t>
      </w:r>
      <w:r w:rsidRPr="00366D7D">
        <w:t>:</w:t>
      </w:r>
    </w:p>
    <w:p w:rsidR="00BA5F2A" w:rsidRPr="00366D7D" w:rsidRDefault="00BA5F2A" w:rsidP="00737DAA">
      <w:pPr>
        <w:pStyle w:val="ListParagraph"/>
        <w:numPr>
          <w:ilvl w:val="0"/>
          <w:numId w:val="3"/>
        </w:numPr>
        <w:jc w:val="both"/>
        <w:rPr>
          <w:rFonts w:ascii="Calibri" w:eastAsia="Times New Roman" w:hAnsi="Calibri" w:cs="Times New Roman"/>
          <w:b w:val="0"/>
          <w:lang w:val="en-AU" w:eastAsia="en-AU"/>
        </w:rPr>
      </w:pPr>
      <w:r w:rsidRPr="00366D7D">
        <w:rPr>
          <w:rFonts w:ascii="Calibri" w:eastAsia="Times New Roman" w:hAnsi="Calibri" w:cs="Times New Roman"/>
          <w:b w:val="0"/>
          <w:lang w:val="en-AU" w:eastAsia="en-AU"/>
        </w:rPr>
        <w:t xml:space="preserve">Almost half of all crime in </w:t>
      </w:r>
      <w:r w:rsidR="00BC4973">
        <w:rPr>
          <w:rFonts w:ascii="Calibri" w:eastAsia="Times New Roman" w:hAnsi="Calibri" w:cs="Times New Roman"/>
          <w:b w:val="0"/>
          <w:lang w:val="en-AU" w:eastAsia="en-AU"/>
        </w:rPr>
        <w:t xml:space="preserve">Victoria in </w:t>
      </w:r>
      <w:r w:rsidRPr="00366D7D">
        <w:rPr>
          <w:rFonts w:ascii="Calibri" w:eastAsia="Times New Roman" w:hAnsi="Calibri" w:cs="Times New Roman"/>
          <w:b w:val="0"/>
          <w:lang w:val="en-AU" w:eastAsia="en-AU"/>
        </w:rPr>
        <w:t>the last 12 months was committed by an offender processed for an alcohol-related offence that they had been charged for in the previous five years.</w:t>
      </w:r>
    </w:p>
    <w:p w:rsidR="00BA5F2A" w:rsidRPr="00366D7D" w:rsidRDefault="00BA5F2A" w:rsidP="00737DAA">
      <w:pPr>
        <w:pStyle w:val="ListParagraph"/>
        <w:numPr>
          <w:ilvl w:val="0"/>
          <w:numId w:val="3"/>
        </w:numPr>
        <w:jc w:val="both"/>
        <w:rPr>
          <w:rFonts w:ascii="Calibri" w:eastAsia="Times New Roman" w:hAnsi="Calibri" w:cs="Times New Roman"/>
          <w:b w:val="0"/>
          <w:lang w:val="en-AU" w:eastAsia="en-AU"/>
        </w:rPr>
      </w:pPr>
      <w:r w:rsidRPr="00366D7D">
        <w:rPr>
          <w:rFonts w:ascii="Calibri" w:eastAsia="Times New Roman" w:hAnsi="Calibri" w:cs="Times New Roman"/>
          <w:b w:val="0"/>
          <w:lang w:val="en-AU" w:eastAsia="en-AU"/>
        </w:rPr>
        <w:t>One in three alcohol offenders are family violence offenders.</w:t>
      </w:r>
    </w:p>
    <w:p w:rsidR="00936D4A" w:rsidRPr="000F53BB" w:rsidRDefault="00BA5F2A" w:rsidP="00061C1E">
      <w:pPr>
        <w:pStyle w:val="ListParagraph"/>
        <w:numPr>
          <w:ilvl w:val="0"/>
          <w:numId w:val="3"/>
        </w:numPr>
        <w:jc w:val="both"/>
        <w:rPr>
          <w:rFonts w:ascii="Calibri" w:eastAsia="Times New Roman" w:hAnsi="Calibri" w:cs="Times New Roman"/>
          <w:b w:val="0"/>
          <w:lang w:val="en-AU" w:eastAsia="en-AU"/>
        </w:rPr>
      </w:pPr>
      <w:r w:rsidRPr="00366D7D">
        <w:rPr>
          <w:rFonts w:ascii="Calibri" w:eastAsia="Times New Roman" w:hAnsi="Calibri" w:cs="Times New Roman"/>
          <w:b w:val="0"/>
          <w:lang w:val="en-AU" w:eastAsia="en-AU"/>
        </w:rPr>
        <w:t xml:space="preserve">Excessive consumption </w:t>
      </w:r>
      <w:r w:rsidR="00BC4973">
        <w:rPr>
          <w:rFonts w:ascii="Calibri" w:eastAsia="Times New Roman" w:hAnsi="Calibri" w:cs="Times New Roman"/>
          <w:b w:val="0"/>
          <w:lang w:val="en-AU" w:eastAsia="en-AU"/>
        </w:rPr>
        <w:t xml:space="preserve">of alcohol </w:t>
      </w:r>
      <w:r w:rsidRPr="00366D7D">
        <w:rPr>
          <w:rFonts w:ascii="Calibri" w:eastAsia="Times New Roman" w:hAnsi="Calibri" w:cs="Times New Roman"/>
          <w:b w:val="0"/>
          <w:lang w:val="en-AU" w:eastAsia="en-AU"/>
        </w:rPr>
        <w:t>is a driver of family violence assaults, property damage and justice procedure offences.</w:t>
      </w:r>
      <w:r>
        <w:rPr>
          <w:rStyle w:val="EndnoteReference"/>
          <w:b w:val="0"/>
          <w:sz w:val="22"/>
          <w:lang w:val="en-GB"/>
        </w:rPr>
        <w:endnoteReference w:id="33"/>
      </w:r>
    </w:p>
    <w:p w:rsidR="00936D4A" w:rsidRDefault="00936D4A" w:rsidP="00061C1E">
      <w:pPr>
        <w:jc w:val="both"/>
      </w:pPr>
    </w:p>
    <w:p w:rsidR="00936D4A" w:rsidRDefault="00936D4A" w:rsidP="00061C1E">
      <w:pPr>
        <w:jc w:val="both"/>
      </w:pPr>
      <w:bookmarkStart w:id="38" w:name="_GoBack"/>
      <w:bookmarkEnd w:id="38"/>
    </w:p>
    <w:p w:rsidR="000C67DD" w:rsidRDefault="000C67DD" w:rsidP="00061C1E">
      <w:pPr>
        <w:jc w:val="both"/>
      </w:pPr>
      <w:r w:rsidRPr="000C67DD">
        <w:rPr>
          <w:b/>
        </w:rPr>
        <w:t xml:space="preserve">Figure 2: </w:t>
      </w:r>
      <w:r>
        <w:rPr>
          <w:b/>
        </w:rPr>
        <w:t>A</w:t>
      </w:r>
      <w:r w:rsidRPr="000C67DD">
        <w:rPr>
          <w:b/>
        </w:rPr>
        <w:t xml:space="preserve">lcohol </w:t>
      </w:r>
      <w:r>
        <w:rPr>
          <w:b/>
        </w:rPr>
        <w:t xml:space="preserve">and its </w:t>
      </w:r>
      <w:r w:rsidRPr="000C67DD">
        <w:rPr>
          <w:b/>
        </w:rPr>
        <w:t>impacts on crime and community safety</w:t>
      </w:r>
      <w:r w:rsidRPr="000C67DD">
        <w:rPr>
          <w:sz w:val="22"/>
          <w:vertAlign w:val="superscript"/>
          <w:lang w:val="en-GB"/>
        </w:rPr>
        <w:endnoteReference w:id="34"/>
      </w:r>
      <w:r w:rsidRPr="000C67DD">
        <w:t xml:space="preserve"> </w:t>
      </w:r>
      <w:r w:rsidRPr="000C67DD">
        <w:rPr>
          <w:sz w:val="22"/>
          <w:vertAlign w:val="superscript"/>
          <w:lang w:val="en-GB"/>
        </w:rPr>
        <w:endnoteReference w:id="35"/>
      </w:r>
    </w:p>
    <w:p w:rsidR="00936D4A" w:rsidRPr="000C67DD" w:rsidRDefault="00936D4A" w:rsidP="00061C1E">
      <w:pPr>
        <w:jc w:val="both"/>
        <w:rPr>
          <w:b/>
        </w:rPr>
      </w:pPr>
    </w:p>
    <w:p w:rsidR="006C6755" w:rsidRDefault="00D86E8A" w:rsidP="00061C1E">
      <w:pPr>
        <w:jc w:val="both"/>
      </w:pPr>
      <w:r>
        <w:rPr>
          <w:noProof/>
        </w:rPr>
        <w:drawing>
          <wp:inline distT="0" distB="0" distL="0" distR="0" wp14:anchorId="3BBD4C64" wp14:editId="682870F7">
            <wp:extent cx="4293704" cy="4411447"/>
            <wp:effectExtent l="0" t="0" r="0" b="8255"/>
            <wp:docPr id="9" name="Picture 9" descr="Alcohol:&#10;In 43% of family violence incidents (Victoria).&#10;In up to 47% of child abuse cases (nationally)&#10;22% of all assaults (Victoria)&#10;1 in 3 alcohol offenders are family violence offenders&#10;1 new 'bottle shop 35.3% increase in assaults, shootings, stabb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95411" cy="4413201"/>
                    </a:xfrm>
                    <a:prstGeom prst="rect">
                      <a:avLst/>
                    </a:prstGeom>
                  </pic:spPr>
                </pic:pic>
              </a:graphicData>
            </a:graphic>
          </wp:inline>
        </w:drawing>
      </w:r>
    </w:p>
    <w:p w:rsidR="00061C1E" w:rsidRDefault="00061C1E">
      <w:pPr>
        <w:jc w:val="both"/>
      </w:pPr>
    </w:p>
    <w:p w:rsidR="00412BDA" w:rsidRDefault="00E22475">
      <w:pPr>
        <w:jc w:val="both"/>
      </w:pPr>
      <w:r>
        <w:t xml:space="preserve">The </w:t>
      </w:r>
      <w:r w:rsidR="00FC39E1">
        <w:t xml:space="preserve">City of Whittlesea accounts for 8.3% </w:t>
      </w:r>
      <w:r>
        <w:t xml:space="preserve">of drug offences </w:t>
      </w:r>
      <w:r w:rsidR="00FC39E1">
        <w:t>for the North West Metropolitan Region offences and</w:t>
      </w:r>
      <w:r w:rsidR="00B9378D">
        <w:t xml:space="preserve"> 3.1% for Victoria.  While in</w:t>
      </w:r>
      <w:r w:rsidR="00FC39E1">
        <w:t xml:space="preserve"> the Northern Metropolitan Region </w:t>
      </w:r>
      <w:r>
        <w:t>the</w:t>
      </w:r>
      <w:r w:rsidR="00FC39E1">
        <w:t xml:space="preserve"> City of Whittlesea makes up 18% of the total </w:t>
      </w:r>
      <w:r w:rsidR="00B9378D">
        <w:t xml:space="preserve">number of </w:t>
      </w:r>
      <w:r w:rsidR="00FC39E1">
        <w:t>drug offences.</w:t>
      </w:r>
      <w:r w:rsidR="00FC39E1">
        <w:rPr>
          <w:rStyle w:val="EndnoteReference"/>
        </w:rPr>
        <w:endnoteReference w:id="36"/>
      </w:r>
    </w:p>
    <w:p w:rsidR="00412BDA" w:rsidRDefault="00412BDA">
      <w:pPr>
        <w:jc w:val="both"/>
      </w:pPr>
    </w:p>
    <w:p w:rsidR="002C6633" w:rsidRPr="00412BDA" w:rsidRDefault="002C6633">
      <w:pPr>
        <w:jc w:val="both"/>
      </w:pPr>
    </w:p>
    <w:p w:rsidR="00954573" w:rsidRPr="004461B7" w:rsidRDefault="00954573" w:rsidP="00D87898">
      <w:pPr>
        <w:pStyle w:val="Heading3"/>
        <w:rPr>
          <w:rFonts w:eastAsiaTheme="majorEastAsia"/>
          <w:lang w:val="en-GB"/>
        </w:rPr>
      </w:pPr>
      <w:bookmarkStart w:id="39" w:name="_Toc477338754"/>
      <w:r w:rsidRPr="004461B7">
        <w:rPr>
          <w:rFonts w:eastAsiaTheme="majorEastAsia"/>
          <w:lang w:val="en-GB"/>
        </w:rPr>
        <w:t>Offender profile</w:t>
      </w:r>
      <w:bookmarkEnd w:id="39"/>
    </w:p>
    <w:p w:rsidR="00954573" w:rsidRDefault="00E22475" w:rsidP="00954573">
      <w:pPr>
        <w:jc w:val="both"/>
        <w:rPr>
          <w:sz w:val="22"/>
        </w:rPr>
      </w:pPr>
      <w:r>
        <w:t>The most recent data available outlines that at</w:t>
      </w:r>
      <w:r w:rsidR="00954573" w:rsidRPr="008A29DB">
        <w:t xml:space="preserve"> 30 June 2011</w:t>
      </w:r>
      <w:r w:rsidR="00954573">
        <w:t>,</w:t>
      </w:r>
      <w:r w:rsidR="00954573" w:rsidRPr="008A29DB">
        <w:t xml:space="preserve"> 2.7% of offenders on C</w:t>
      </w:r>
      <w:r w:rsidR="00954573">
        <w:t xml:space="preserve">ommunity </w:t>
      </w:r>
      <w:r w:rsidR="00954573" w:rsidRPr="008A29DB">
        <w:t>C</w:t>
      </w:r>
      <w:r w:rsidR="00954573">
        <w:t xml:space="preserve">orrectional </w:t>
      </w:r>
      <w:r w:rsidR="00954573" w:rsidRPr="008A29DB">
        <w:t>S</w:t>
      </w:r>
      <w:r w:rsidR="00954573">
        <w:t>ervices</w:t>
      </w:r>
      <w:r w:rsidR="00954573" w:rsidRPr="008A29DB">
        <w:t xml:space="preserve"> </w:t>
      </w:r>
      <w:r w:rsidR="00954573">
        <w:t xml:space="preserve">(CCS) </w:t>
      </w:r>
      <w:r w:rsidR="00954573" w:rsidRPr="008A29DB">
        <w:t xml:space="preserve">orders or in prison were </w:t>
      </w:r>
      <w:r w:rsidR="00954573">
        <w:t xml:space="preserve">a </w:t>
      </w:r>
      <w:r>
        <w:t>resident of</w:t>
      </w:r>
      <w:r w:rsidR="00954573" w:rsidRPr="008A29DB">
        <w:t xml:space="preserve"> </w:t>
      </w:r>
      <w:r>
        <w:t xml:space="preserve">the City of </w:t>
      </w:r>
      <w:r w:rsidR="00954573" w:rsidRPr="008A29DB">
        <w:t xml:space="preserve">Whittlesea at the time of sentence and 2.7% of parolees listed </w:t>
      </w:r>
      <w:r>
        <w:t>the City of Whittlesea</w:t>
      </w:r>
      <w:r w:rsidR="00954573">
        <w:t xml:space="preserve"> </w:t>
      </w:r>
      <w:r w:rsidR="00954573" w:rsidRPr="008A29DB">
        <w:t xml:space="preserve">as their place of residence </w:t>
      </w:r>
      <w:r>
        <w:t>up</w:t>
      </w:r>
      <w:r w:rsidR="00954573" w:rsidRPr="008A29DB">
        <w:t>on release</w:t>
      </w:r>
      <w:r w:rsidR="00954573" w:rsidRPr="008A29DB">
        <w:rPr>
          <w:sz w:val="22"/>
        </w:rPr>
        <w:t>.</w:t>
      </w:r>
      <w:r>
        <w:rPr>
          <w:sz w:val="22"/>
        </w:rPr>
        <w:t xml:space="preserve"> </w:t>
      </w:r>
    </w:p>
    <w:p w:rsidR="00954573" w:rsidRPr="008A29DB" w:rsidRDefault="00954573" w:rsidP="00954573">
      <w:pPr>
        <w:jc w:val="both"/>
        <w:rPr>
          <w:sz w:val="22"/>
        </w:rPr>
      </w:pPr>
    </w:p>
    <w:p w:rsidR="00954573" w:rsidRDefault="00954573" w:rsidP="00954573">
      <w:pPr>
        <w:jc w:val="both"/>
      </w:pPr>
      <w:r w:rsidRPr="008A29DB">
        <w:t>The Northern Metropolitan Region</w:t>
      </w:r>
      <w:r w:rsidR="000F7C5B">
        <w:t xml:space="preserve"> (NMR)</w:t>
      </w:r>
      <w:r w:rsidR="007F7809">
        <w:rPr>
          <w:rStyle w:val="FootnoteReference"/>
        </w:rPr>
        <w:footnoteReference w:id="3"/>
      </w:r>
      <w:r w:rsidRPr="008A29DB">
        <w:t xml:space="preserve"> as a whole exceeded the State average for the number of offenders </w:t>
      </w:r>
      <w:r w:rsidR="008F51BA">
        <w:t xml:space="preserve">living </w:t>
      </w:r>
      <w:r w:rsidR="00493213">
        <w:t>in the region</w:t>
      </w:r>
      <w:r w:rsidRPr="008A29DB">
        <w:t xml:space="preserve"> at the time of sentence and parolees </w:t>
      </w:r>
      <w:r w:rsidR="00493213">
        <w:t>up</w:t>
      </w:r>
      <w:r w:rsidRPr="008A29DB">
        <w:t xml:space="preserve">on release per 100,000 of population as at 30 June 2011. </w:t>
      </w:r>
      <w:r>
        <w:t xml:space="preserve"> </w:t>
      </w:r>
      <w:r w:rsidR="008F51BA">
        <w:t>The City of</w:t>
      </w:r>
      <w:r w:rsidRPr="008A29DB">
        <w:t xml:space="preserve"> Whittlesea exceeded the State average </w:t>
      </w:r>
      <w:r w:rsidR="00493213">
        <w:t xml:space="preserve">only </w:t>
      </w:r>
      <w:r w:rsidRPr="008A29DB">
        <w:t>for</w:t>
      </w:r>
      <w:r w:rsidR="008F51BA">
        <w:t xml:space="preserve"> the number of</w:t>
      </w:r>
      <w:r w:rsidRPr="008A29DB">
        <w:t xml:space="preserve"> CC</w:t>
      </w:r>
      <w:r>
        <w:t xml:space="preserve">S offenders </w:t>
      </w:r>
      <w:r w:rsidR="008F51BA">
        <w:t xml:space="preserve">living </w:t>
      </w:r>
      <w:r w:rsidR="00493213">
        <w:t>in the LGA (not for parolees upon release)</w:t>
      </w:r>
      <w:r w:rsidRPr="008A29DB">
        <w:t>.</w:t>
      </w:r>
      <w:r>
        <w:rPr>
          <w:rStyle w:val="EndnoteReference"/>
        </w:rPr>
        <w:endnoteReference w:id="37"/>
      </w:r>
    </w:p>
    <w:p w:rsidR="00E4795E" w:rsidRDefault="00E4795E" w:rsidP="00954573">
      <w:pPr>
        <w:jc w:val="both"/>
      </w:pPr>
    </w:p>
    <w:p w:rsidR="002B49F7" w:rsidRPr="00E4795E" w:rsidRDefault="002B49F7" w:rsidP="00E4795E">
      <w:pPr>
        <w:jc w:val="both"/>
      </w:pPr>
      <w:r w:rsidRPr="00E4795E">
        <w:t>It's promising to note that data for the period April 2015 to March 2016 alleged offender rate shows the City of Whittlesea has a lower offender rate compared to the North West Metropolitan Region</w:t>
      </w:r>
      <w:r w:rsidR="000F7C5B">
        <w:t xml:space="preserve"> (NWMR)</w:t>
      </w:r>
      <w:r w:rsidR="00F154CA">
        <w:rPr>
          <w:rStyle w:val="FootnoteReference"/>
        </w:rPr>
        <w:footnoteReference w:id="4"/>
      </w:r>
      <w:r w:rsidR="00F154CA">
        <w:t xml:space="preserve"> and Victoria; </w:t>
      </w:r>
      <w:r w:rsidRPr="00E4795E">
        <w:t xml:space="preserve">2,129 per 100,000 population compared to 3,072 for the </w:t>
      </w:r>
      <w:r w:rsidR="000F7C5B">
        <w:t>NWMR</w:t>
      </w:r>
      <w:r w:rsidRPr="00E4795E">
        <w:t xml:space="preserve"> and 2,842.2 for Victoria.</w:t>
      </w:r>
    </w:p>
    <w:p w:rsidR="00E4795E" w:rsidRPr="00E4795E" w:rsidRDefault="00E4795E" w:rsidP="00954573">
      <w:pPr>
        <w:jc w:val="both"/>
      </w:pPr>
    </w:p>
    <w:p w:rsidR="00C820C9" w:rsidRPr="004461B7" w:rsidRDefault="00C820C9" w:rsidP="00D87898">
      <w:pPr>
        <w:pStyle w:val="Heading3"/>
        <w:rPr>
          <w:rFonts w:eastAsiaTheme="majorEastAsia"/>
          <w:lang w:val="en-GB"/>
        </w:rPr>
      </w:pPr>
      <w:bookmarkStart w:id="40" w:name="_Toc477338755"/>
      <w:r w:rsidRPr="004461B7">
        <w:rPr>
          <w:rFonts w:eastAsiaTheme="majorEastAsia"/>
          <w:lang w:val="en-GB"/>
        </w:rPr>
        <w:t>Crime</w:t>
      </w:r>
      <w:bookmarkEnd w:id="40"/>
    </w:p>
    <w:p w:rsidR="00C4476F" w:rsidRDefault="00C820C9" w:rsidP="00C820C9">
      <w:pPr>
        <w:jc w:val="both"/>
      </w:pPr>
      <w:r>
        <w:t>According to Crime Statistics Agency Victoria</w:t>
      </w:r>
      <w:r w:rsidR="007F7809">
        <w:t xml:space="preserve"> for the period of April 2015 to March 2016</w:t>
      </w:r>
      <w:r>
        <w:t xml:space="preserve">, the </w:t>
      </w:r>
      <w:r w:rsidR="00F154CA">
        <w:t xml:space="preserve">total </w:t>
      </w:r>
      <w:r w:rsidR="00C4476F">
        <w:t xml:space="preserve">number of </w:t>
      </w:r>
      <w:r w:rsidR="001F08F1">
        <w:t xml:space="preserve">offences </w:t>
      </w:r>
      <w:r w:rsidR="00F46C28">
        <w:t xml:space="preserve">for the City of Whittlesea </w:t>
      </w:r>
      <w:r w:rsidR="00C4476F">
        <w:t>was 14, 889</w:t>
      </w:r>
      <w:r w:rsidR="00AC11EE">
        <w:t xml:space="preserve"> (refer Figure 3).</w:t>
      </w:r>
      <w:r w:rsidR="00DE0758">
        <w:rPr>
          <w:rStyle w:val="EndnoteReference"/>
        </w:rPr>
        <w:endnoteReference w:id="38"/>
      </w:r>
      <w:r w:rsidR="00AC11EE">
        <w:t xml:space="preserve">  </w:t>
      </w:r>
      <w:r w:rsidR="00F46C28">
        <w:t xml:space="preserve">Rates of crime are highest for </w:t>
      </w:r>
      <w:r w:rsidR="00DE0758">
        <w:t>T</w:t>
      </w:r>
      <w:r w:rsidR="00F46C28">
        <w:t>heft (2,652.1 per 10</w:t>
      </w:r>
      <w:r w:rsidR="00DE0758">
        <w:t>0, 000 population, followed by B</w:t>
      </w:r>
      <w:r w:rsidR="00F46C28">
        <w:t>urgl</w:t>
      </w:r>
      <w:r w:rsidR="00DE0758">
        <w:t>ary/ B</w:t>
      </w:r>
      <w:r w:rsidR="00F46C28">
        <w:t>reak and enter (851.7),</w:t>
      </w:r>
      <w:r w:rsidR="00DE0758">
        <w:t xml:space="preserve"> B</w:t>
      </w:r>
      <w:r w:rsidR="00F46C28">
        <w:t>reaches of orders (679.5)</w:t>
      </w:r>
      <w:r w:rsidR="00DE0758">
        <w:t>, P</w:t>
      </w:r>
      <w:r w:rsidR="00F46C28">
        <w:t>roperty dama</w:t>
      </w:r>
      <w:r w:rsidR="00DE0758">
        <w:t>ge (636.2) and A</w:t>
      </w:r>
      <w:r w:rsidR="00F46C28">
        <w:t>ssault related offences (553.0) – refer Figure 4.</w:t>
      </w:r>
      <w:r w:rsidR="00DE0758">
        <w:rPr>
          <w:rStyle w:val="EndnoteReference"/>
        </w:rPr>
        <w:endnoteReference w:id="39"/>
      </w:r>
    </w:p>
    <w:p w:rsidR="00C4476F" w:rsidRDefault="00C4476F" w:rsidP="00C820C9">
      <w:pPr>
        <w:jc w:val="both"/>
      </w:pPr>
    </w:p>
    <w:p w:rsidR="00F46C28" w:rsidRPr="0028332A" w:rsidRDefault="00F46C28" w:rsidP="00F46C28">
      <w:pPr>
        <w:jc w:val="both"/>
        <w:rPr>
          <w:b/>
        </w:rPr>
      </w:pPr>
      <w:r>
        <w:rPr>
          <w:b/>
        </w:rPr>
        <w:t>Figure 3: Offence categories (number) April 2015 to March 2016</w:t>
      </w:r>
    </w:p>
    <w:p w:rsidR="00F46C28" w:rsidRDefault="00F46C28" w:rsidP="00C820C9">
      <w:pPr>
        <w:jc w:val="both"/>
      </w:pPr>
    </w:p>
    <w:p w:rsidR="00C4476F" w:rsidRDefault="00185D92" w:rsidP="00C820C9">
      <w:pPr>
        <w:jc w:val="both"/>
      </w:pPr>
      <w:r>
        <w:rPr>
          <w:noProof/>
        </w:rPr>
        <w:drawing>
          <wp:inline distT="0" distB="0" distL="0" distR="0" wp14:anchorId="7282AF5C" wp14:editId="1A8E5163">
            <wp:extent cx="2464904" cy="1950489"/>
            <wp:effectExtent l="0" t="0" r="0" b="0"/>
            <wp:docPr id="10" name="Picture 10" descr="2176 crimes against the person&#10;9348 property and deception&#10;956 drug offenses&#10;1680 justice procedurs&#10;35 other off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468845" cy="1953607"/>
                    </a:xfrm>
                    <a:prstGeom prst="rect">
                      <a:avLst/>
                    </a:prstGeom>
                  </pic:spPr>
                </pic:pic>
              </a:graphicData>
            </a:graphic>
          </wp:inline>
        </w:drawing>
      </w:r>
    </w:p>
    <w:p w:rsidR="00F46C28" w:rsidRPr="00DE0758" w:rsidRDefault="005A455A" w:rsidP="00D87898">
      <w:pPr>
        <w:rPr>
          <w:b/>
        </w:rPr>
      </w:pPr>
      <w:r>
        <w:br w:type="page"/>
      </w:r>
      <w:r w:rsidR="00F46C28" w:rsidRPr="00DE0758">
        <w:rPr>
          <w:b/>
        </w:rPr>
        <w:t xml:space="preserve">Figure 4: </w:t>
      </w:r>
      <w:r w:rsidR="00DE0758" w:rsidRPr="00DE0758">
        <w:rPr>
          <w:b/>
        </w:rPr>
        <w:t xml:space="preserve">Offence types (rate per 100,000 </w:t>
      </w:r>
      <w:proofErr w:type="gramStart"/>
      <w:r w:rsidR="00DE0758" w:rsidRPr="00DE0758">
        <w:rPr>
          <w:b/>
        </w:rPr>
        <w:t>population</w:t>
      </w:r>
      <w:proofErr w:type="gramEnd"/>
      <w:r w:rsidR="00DE0758" w:rsidRPr="00DE0758">
        <w:rPr>
          <w:b/>
        </w:rPr>
        <w:t>) April 2015 to March 2016</w:t>
      </w:r>
    </w:p>
    <w:p w:rsidR="00F46C28" w:rsidRDefault="00954C02" w:rsidP="00F154CA">
      <w:pPr>
        <w:jc w:val="both"/>
      </w:pPr>
      <w:r>
        <w:rPr>
          <w:noProof/>
        </w:rPr>
        <w:drawing>
          <wp:inline distT="0" distB="0" distL="0" distR="0" wp14:anchorId="60D50B45" wp14:editId="681E3AC5">
            <wp:extent cx="4031311" cy="3290576"/>
            <wp:effectExtent l="0" t="0" r="7620" b="5080"/>
            <wp:docPr id="13" name="Picture 13" descr="2652.1 theft&#10;851.7 burglary/break and enter&#10;679.5 breaches of orders&#10;636.2 property damage&#10;553 assault and related off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30131" cy="3289612"/>
                    </a:xfrm>
                    <a:prstGeom prst="rect">
                      <a:avLst/>
                    </a:prstGeom>
                  </pic:spPr>
                </pic:pic>
              </a:graphicData>
            </a:graphic>
          </wp:inline>
        </w:drawing>
      </w:r>
    </w:p>
    <w:p w:rsidR="00DE0758" w:rsidRDefault="00DE0758" w:rsidP="00F154CA">
      <w:pPr>
        <w:jc w:val="both"/>
      </w:pPr>
    </w:p>
    <w:p w:rsidR="002B49F7" w:rsidRDefault="007F7809" w:rsidP="00F154CA">
      <w:pPr>
        <w:jc w:val="both"/>
      </w:pPr>
      <w:r>
        <w:t>However, t</w:t>
      </w:r>
      <w:r w:rsidR="002B49F7" w:rsidRPr="00F154CA">
        <w:t xml:space="preserve">he rate of family violence incidents in the City of Whittlesea continues to be of concern with 1,392 incidents per 100,000 </w:t>
      </w:r>
      <w:proofErr w:type="gramStart"/>
      <w:r w:rsidR="002B49F7" w:rsidRPr="00F154CA">
        <w:t>population</w:t>
      </w:r>
      <w:proofErr w:type="gramEnd"/>
      <w:r w:rsidR="002B49F7" w:rsidRPr="00F154CA">
        <w:t>; in comparison in Victoria the rate was 1,191.5 per 100,000.  Alarmingly, family violence was the context for more than half of all recorded assaults and was the context for 38% of all sexual offences.</w:t>
      </w:r>
      <w:r w:rsidR="00ED7D96" w:rsidRPr="00ED7D96">
        <w:rPr>
          <w:rStyle w:val="EndnoteReference"/>
        </w:rPr>
        <w:t xml:space="preserve"> </w:t>
      </w:r>
      <w:r w:rsidR="00ED7D96">
        <w:rPr>
          <w:rStyle w:val="EndnoteReference"/>
        </w:rPr>
        <w:endnoteReference w:id="40"/>
      </w:r>
      <w:r w:rsidR="00ED7D96">
        <w:t xml:space="preserve"> </w:t>
      </w:r>
      <w:r w:rsidR="00ED7D96">
        <w:rPr>
          <w:rStyle w:val="EndnoteReference"/>
        </w:rPr>
        <w:endnoteReference w:id="41"/>
      </w:r>
    </w:p>
    <w:p w:rsidR="005301BC" w:rsidRDefault="005301BC" w:rsidP="00F154CA">
      <w:pPr>
        <w:jc w:val="both"/>
      </w:pPr>
    </w:p>
    <w:p w:rsidR="005301BC" w:rsidRDefault="005301BC" w:rsidP="005301BC">
      <w:pPr>
        <w:jc w:val="both"/>
      </w:pPr>
      <w:r>
        <w:t xml:space="preserve">Further to this, despite the </w:t>
      </w:r>
      <w:r w:rsidR="00180588">
        <w:t>NWMR</w:t>
      </w:r>
      <w:r w:rsidR="005A0873">
        <w:t xml:space="preserve"> consistently having high </w:t>
      </w:r>
      <w:r w:rsidRPr="009146E0">
        <w:t>rate</w:t>
      </w:r>
      <w:r>
        <w:t>s</w:t>
      </w:r>
      <w:r w:rsidRPr="009146E0">
        <w:t xml:space="preserve"> of </w:t>
      </w:r>
      <w:r>
        <w:t>theft</w:t>
      </w:r>
      <w:r w:rsidRPr="009146E0">
        <w:t xml:space="preserve"> from motor vehicle offences</w:t>
      </w:r>
      <w:r w:rsidR="005A0873">
        <w:t>,</w:t>
      </w:r>
      <w:r w:rsidRPr="009146E0">
        <w:t xml:space="preserve"> the</w:t>
      </w:r>
      <w:r>
        <w:t xml:space="preserve"> City of Whittlesea </w:t>
      </w:r>
      <w:r w:rsidR="005A0873">
        <w:t>has a rate of 921.9 per 100,000 population compared to 1,243.2.</w:t>
      </w:r>
      <w:r w:rsidR="005A0873">
        <w:rPr>
          <w:rStyle w:val="EndnoteReference"/>
        </w:rPr>
        <w:endnoteReference w:id="42"/>
      </w:r>
      <w:r w:rsidR="005A0873">
        <w:t xml:space="preserve">  </w:t>
      </w:r>
      <w:r w:rsidR="002C668E">
        <w:t>However, theft from motor vehicles remains a significant issue for local police and is one of the main drivers of local crime rates.</w:t>
      </w:r>
      <w:r w:rsidR="003E53A4">
        <w:t xml:space="preserve">  </w:t>
      </w:r>
      <w:r>
        <w:t xml:space="preserve">The rate of residential burglary </w:t>
      </w:r>
      <w:r w:rsidR="002C668E">
        <w:t xml:space="preserve">is also much lower than the rate for the </w:t>
      </w:r>
      <w:r w:rsidR="00180588">
        <w:t>NWMR</w:t>
      </w:r>
      <w:r w:rsidR="00ED09B7">
        <w:t xml:space="preserve"> and for Victoria</w:t>
      </w:r>
      <w:r w:rsidR="002C668E">
        <w:t xml:space="preserve">, </w:t>
      </w:r>
      <w:r>
        <w:t xml:space="preserve">449.3 per 100,000 </w:t>
      </w:r>
      <w:proofErr w:type="gramStart"/>
      <w:r>
        <w:t>population</w:t>
      </w:r>
      <w:proofErr w:type="gramEnd"/>
      <w:r>
        <w:t xml:space="preserve">, compared to </w:t>
      </w:r>
      <w:r w:rsidR="002C668E">
        <w:t>627.7 per 100,000</w:t>
      </w:r>
      <w:r w:rsidR="00ED09B7">
        <w:t xml:space="preserve"> and</w:t>
      </w:r>
      <w:r w:rsidR="002C668E">
        <w:t xml:space="preserve"> </w:t>
      </w:r>
      <w:r>
        <w:t xml:space="preserve">520.0 per 100,000 </w:t>
      </w:r>
      <w:r w:rsidR="00ED09B7">
        <w:t>for Victoria</w:t>
      </w:r>
      <w:r>
        <w:t>.</w:t>
      </w:r>
      <w:r>
        <w:rPr>
          <w:rStyle w:val="EndnoteReference"/>
        </w:rPr>
        <w:endnoteReference w:id="43"/>
      </w:r>
    </w:p>
    <w:p w:rsidR="00DE0758" w:rsidRDefault="003E53A4" w:rsidP="00C820C9">
      <w:pPr>
        <w:jc w:val="both"/>
      </w:pPr>
      <w:r>
        <w:t>Despite the current lower rates of offending and of crime itself, is important to note that these rates change and fluctuate year upon year.  When comparing the City of Whittlesea to only the Northern Metropolitan Region (NMR) which is seven municipalities (rather than the North West Metropolitan Region which is 14) the rates of crime and offending become more similar and in some cases are actually higher.  For example the family violence incidents rates have been consistently higher than NMR for many years and even though in the most recent data theft from motor vehicles is lower than it has been, in previous years it has been one of the highest in the NMR – particularly in 2014.</w:t>
      </w:r>
    </w:p>
    <w:p w:rsidR="005D01F9" w:rsidRDefault="005D01F9" w:rsidP="00FC39E1">
      <w:pPr>
        <w:jc w:val="both"/>
        <w:rPr>
          <w:rFonts w:eastAsiaTheme="majorEastAsia" w:cstheme="majorBidi"/>
          <w:b/>
          <w:bCs/>
          <w:color w:val="00A4E4"/>
          <w:sz w:val="44"/>
          <w:szCs w:val="28"/>
        </w:rPr>
      </w:pPr>
      <w:r>
        <w:rPr>
          <w:rFonts w:eastAsiaTheme="majorEastAsia" w:cstheme="majorBidi"/>
          <w:b/>
          <w:bCs/>
          <w:color w:val="00A4E4"/>
          <w:sz w:val="44"/>
          <w:szCs w:val="28"/>
        </w:rPr>
        <w:br w:type="page"/>
      </w:r>
    </w:p>
    <w:p w:rsidR="005A2843" w:rsidRDefault="007B46A0" w:rsidP="00D87898">
      <w:pPr>
        <w:pStyle w:val="Heading2"/>
      </w:pPr>
      <w:bookmarkStart w:id="41" w:name="_Toc477338756"/>
      <w:r w:rsidRPr="005D01F9">
        <w:t>City of Whittlesea Community Safety and Crime Prevention Strategy 2016-2020</w:t>
      </w:r>
      <w:bookmarkEnd w:id="41"/>
    </w:p>
    <w:p w:rsidR="005A2843" w:rsidRPr="00561D4E" w:rsidRDefault="004061E6" w:rsidP="001D0386">
      <w:pPr>
        <w:jc w:val="both"/>
      </w:pPr>
      <w:r w:rsidRPr="00561D4E">
        <w:t xml:space="preserve">The Community Safety and Crime Prevention Committee (CS&amp;CP Committee) developed these ten goals and themes for the City of Whittlesea and the </w:t>
      </w:r>
      <w:r w:rsidR="002E4556" w:rsidRPr="00561D4E">
        <w:t xml:space="preserve">CS&amp;CP </w:t>
      </w:r>
      <w:r w:rsidRPr="00561D4E">
        <w:t xml:space="preserve">Committee to work to achieve over the next four years.  A detailed implementation plan </w:t>
      </w:r>
      <w:r w:rsidR="00F56870">
        <w:t xml:space="preserve">for the CS&amp;CP Committee </w:t>
      </w:r>
      <w:r w:rsidRPr="00561D4E">
        <w:t xml:space="preserve">has </w:t>
      </w:r>
      <w:r w:rsidR="00F56870">
        <w:t xml:space="preserve">also </w:t>
      </w:r>
      <w:r w:rsidRPr="00561D4E">
        <w:t xml:space="preserve">been developed </w:t>
      </w:r>
      <w:r w:rsidR="002E4556" w:rsidRPr="00561D4E">
        <w:t xml:space="preserve">which outlines actions and evaluation measures and tools. </w:t>
      </w:r>
      <w:r w:rsidR="00E77070">
        <w:t xml:space="preserve"> </w:t>
      </w:r>
      <w:r w:rsidR="00527CDF">
        <w:t xml:space="preserve">The </w:t>
      </w:r>
      <w:r w:rsidR="00E77070" w:rsidRPr="006C2996">
        <w:t>City of Whittlesea will continue to monitor crime and community safety perceptions data and trends as a tool to indicate progress and long term outcomes.</w:t>
      </w:r>
    </w:p>
    <w:p w:rsidR="004061E6" w:rsidRPr="00561D4E" w:rsidRDefault="004061E6" w:rsidP="001D0386">
      <w:pPr>
        <w:jc w:val="both"/>
      </w:pPr>
    </w:p>
    <w:p w:rsidR="00C5397F" w:rsidRPr="0096158C" w:rsidRDefault="00C5397F" w:rsidP="00D87898">
      <w:pPr>
        <w:pStyle w:val="Heading3"/>
      </w:pPr>
      <w:bookmarkStart w:id="42" w:name="_Toc477338757"/>
      <w:r w:rsidRPr="0096158C">
        <w:t>Goal</w:t>
      </w:r>
      <w:r w:rsidR="002555F7">
        <w:t xml:space="preserve"> 1</w:t>
      </w:r>
      <w:r w:rsidRPr="0096158C">
        <w:t>: The built environment is safe, welcoming and promotes community connection</w:t>
      </w:r>
      <w:bookmarkEnd w:id="42"/>
    </w:p>
    <w:p w:rsidR="00D0213A" w:rsidRPr="00561D4E" w:rsidRDefault="005D01F9" w:rsidP="00D87898">
      <w:pPr>
        <w:pStyle w:val="Heading4"/>
      </w:pPr>
      <w:bookmarkStart w:id="43" w:name="_Toc477338758"/>
      <w:r w:rsidRPr="00561D4E">
        <w:t>Theme</w:t>
      </w:r>
      <w:r w:rsidR="00D34FD3" w:rsidRPr="00561D4E">
        <w:t xml:space="preserve">: </w:t>
      </w:r>
      <w:r w:rsidRPr="00561D4E">
        <w:t>S</w:t>
      </w:r>
      <w:r w:rsidR="00D34FD3" w:rsidRPr="00561D4E">
        <w:t>afety in the built environment, parks and public space</w:t>
      </w:r>
      <w:bookmarkEnd w:id="43"/>
    </w:p>
    <w:p w:rsidR="00561D4E" w:rsidRDefault="00561D4E" w:rsidP="001D0386">
      <w:pPr>
        <w:jc w:val="both"/>
        <w:rPr>
          <w:b/>
        </w:rPr>
      </w:pPr>
    </w:p>
    <w:p w:rsidR="00E82F5F" w:rsidRPr="007A44CE" w:rsidRDefault="00E82F5F" w:rsidP="001D0386">
      <w:pPr>
        <w:jc w:val="both"/>
      </w:pPr>
      <w:r w:rsidRPr="007A44CE">
        <w:rPr>
          <w:b/>
        </w:rPr>
        <w:t xml:space="preserve">Rationale: </w:t>
      </w:r>
      <w:r w:rsidR="00A46808" w:rsidRPr="007A44CE">
        <w:rPr>
          <w:rFonts w:cs="Calibri"/>
          <w:color w:val="000000"/>
        </w:rPr>
        <w:t>data and consultations identify varied perceptions of safety in suburbs across the municipality, negative perceptions of safety and experiences of racism in public spaces are barriers to residents using parks and open space</w:t>
      </w:r>
    </w:p>
    <w:p w:rsidR="00A46808" w:rsidRPr="007A44CE" w:rsidRDefault="00A46808" w:rsidP="00A46808">
      <w:pPr>
        <w:rPr>
          <w:rFonts w:cs="Calibri"/>
        </w:rPr>
      </w:pPr>
    </w:p>
    <w:p w:rsidR="005D01F9" w:rsidRPr="00561D4E" w:rsidRDefault="005D01F9" w:rsidP="001D0386">
      <w:pPr>
        <w:jc w:val="both"/>
      </w:pPr>
      <w:r w:rsidRPr="007A44CE">
        <w:rPr>
          <w:b/>
        </w:rPr>
        <w:t>What success will look like over time</w:t>
      </w:r>
      <w:r w:rsidR="0096158C" w:rsidRPr="007A44CE">
        <w:rPr>
          <w:b/>
        </w:rPr>
        <w:t>:</w:t>
      </w:r>
      <w:r w:rsidRPr="007A44CE">
        <w:rPr>
          <w:b/>
        </w:rPr>
        <w:t xml:space="preserve"> </w:t>
      </w:r>
      <w:r w:rsidRPr="007A44CE">
        <w:t xml:space="preserve"> improved perceptions of </w:t>
      </w:r>
      <w:proofErr w:type="gramStart"/>
      <w:r w:rsidRPr="007A44CE">
        <w:t>safety</w:t>
      </w:r>
      <w:proofErr w:type="gramEnd"/>
      <w:r w:rsidR="008F2FF6" w:rsidRPr="00561D4E">
        <w:t xml:space="preserve"> </w:t>
      </w:r>
    </w:p>
    <w:p w:rsidR="00561D4E" w:rsidRPr="00561D4E" w:rsidRDefault="00561D4E" w:rsidP="001D0386">
      <w:pPr>
        <w:jc w:val="both"/>
      </w:pPr>
    </w:p>
    <w:p w:rsidR="005D01F9" w:rsidRPr="00561D4E" w:rsidRDefault="0096158C" w:rsidP="001D0386">
      <w:pPr>
        <w:jc w:val="both"/>
      </w:pPr>
      <w:r w:rsidRPr="00561D4E">
        <w:rPr>
          <w:b/>
        </w:rPr>
        <w:t>Tools to measure progress:</w:t>
      </w:r>
      <w:r w:rsidR="00561D4E">
        <w:t xml:space="preserve"> </w:t>
      </w:r>
      <w:r w:rsidR="005D01F9" w:rsidRPr="00561D4E">
        <w:t>Annual Household Survey perceptions of safety data</w:t>
      </w:r>
    </w:p>
    <w:p w:rsidR="005A2843" w:rsidRDefault="005A2843" w:rsidP="001D0386">
      <w:pPr>
        <w:jc w:val="both"/>
      </w:pPr>
    </w:p>
    <w:p w:rsidR="00682BB4" w:rsidRPr="00561D4E" w:rsidRDefault="00682BB4" w:rsidP="00D87898">
      <w:pPr>
        <w:pStyle w:val="Heading2"/>
      </w:pPr>
      <w:bookmarkStart w:id="44" w:name="_Toc477338759"/>
      <w:r w:rsidRPr="0096158C">
        <w:t>Goal</w:t>
      </w:r>
      <w:r w:rsidR="002555F7">
        <w:t xml:space="preserve"> 2</w:t>
      </w:r>
      <w:r w:rsidRPr="0096158C">
        <w:t>: Crime against public and private property is minimised</w:t>
      </w:r>
      <w:bookmarkEnd w:id="44"/>
    </w:p>
    <w:p w:rsidR="00D34FD3" w:rsidRPr="00561D4E" w:rsidRDefault="005D01F9" w:rsidP="00D87898">
      <w:pPr>
        <w:pStyle w:val="Heading3"/>
      </w:pPr>
      <w:bookmarkStart w:id="45" w:name="_Toc477338760"/>
      <w:r w:rsidRPr="00561D4E">
        <w:t>Theme: P</w:t>
      </w:r>
      <w:r w:rsidR="00D34FD3" w:rsidRPr="00561D4E">
        <w:t>roperty crime and theft</w:t>
      </w:r>
      <w:bookmarkEnd w:id="45"/>
      <w:r w:rsidR="00D34FD3" w:rsidRPr="00561D4E">
        <w:t xml:space="preserve"> </w:t>
      </w:r>
    </w:p>
    <w:p w:rsidR="00561D4E" w:rsidRDefault="00561D4E" w:rsidP="001D0386">
      <w:pPr>
        <w:jc w:val="both"/>
      </w:pPr>
    </w:p>
    <w:p w:rsidR="00962224" w:rsidRPr="00561D4E" w:rsidRDefault="00962224" w:rsidP="001D0386">
      <w:pPr>
        <w:jc w:val="both"/>
      </w:pPr>
      <w:r w:rsidRPr="00561D4E">
        <w:rPr>
          <w:b/>
        </w:rPr>
        <w:t>Rationale:</w:t>
      </w:r>
      <w:r w:rsidRPr="00561D4E">
        <w:t xml:space="preserve"> local data outlines public and private property crime and theft are the main drivers of the local crime rate; residents and police identify theft and break-ins as a significant concern</w:t>
      </w:r>
    </w:p>
    <w:p w:rsidR="00561D4E" w:rsidRDefault="00561D4E" w:rsidP="001D0386">
      <w:pPr>
        <w:jc w:val="both"/>
      </w:pPr>
    </w:p>
    <w:p w:rsidR="0096158C" w:rsidRPr="00561D4E" w:rsidRDefault="0096158C" w:rsidP="001D0386">
      <w:pPr>
        <w:jc w:val="both"/>
      </w:pPr>
      <w:r w:rsidRPr="00561D4E">
        <w:rPr>
          <w:b/>
        </w:rPr>
        <w:t>What success will look like over time:</w:t>
      </w:r>
      <w:r w:rsidR="00561D4E">
        <w:t xml:space="preserve"> </w:t>
      </w:r>
      <w:r w:rsidR="00845113" w:rsidRPr="00561D4E">
        <w:t xml:space="preserve">theft prevention approaches are effective and sustainable </w:t>
      </w:r>
    </w:p>
    <w:p w:rsidR="00561D4E" w:rsidRDefault="00561D4E" w:rsidP="001D0386">
      <w:pPr>
        <w:jc w:val="both"/>
      </w:pPr>
    </w:p>
    <w:p w:rsidR="0084144F" w:rsidRPr="00561D4E" w:rsidRDefault="0096158C" w:rsidP="001D0386">
      <w:pPr>
        <w:jc w:val="both"/>
      </w:pPr>
      <w:r w:rsidRPr="00561D4E">
        <w:rPr>
          <w:b/>
        </w:rPr>
        <w:t>Tools to measure progress:</w:t>
      </w:r>
      <w:r w:rsidR="00561D4E">
        <w:t xml:space="preserve"> </w:t>
      </w:r>
      <w:r w:rsidR="00441C1F" w:rsidRPr="00561D4E">
        <w:t>E</w:t>
      </w:r>
      <w:r w:rsidR="00F65AD5" w:rsidRPr="00561D4E">
        <w:t xml:space="preserve">valuation and sustainability of local </w:t>
      </w:r>
      <w:r w:rsidR="00845113" w:rsidRPr="00561D4E">
        <w:t xml:space="preserve">theft </w:t>
      </w:r>
      <w:r w:rsidR="00F65AD5" w:rsidRPr="00561D4E">
        <w:t xml:space="preserve">prevention </w:t>
      </w:r>
      <w:r w:rsidR="00845113" w:rsidRPr="00561D4E">
        <w:t xml:space="preserve">approaches </w:t>
      </w:r>
    </w:p>
    <w:p w:rsidR="0084144F" w:rsidRPr="0084144F" w:rsidRDefault="0084144F" w:rsidP="001D0386">
      <w:pPr>
        <w:jc w:val="both"/>
      </w:pPr>
    </w:p>
    <w:p w:rsidR="00F77D7A" w:rsidRDefault="00F77D7A">
      <w:pPr>
        <w:rPr>
          <w:b/>
          <w:color w:val="072B61"/>
          <w:sz w:val="36"/>
          <w:szCs w:val="36"/>
        </w:rPr>
      </w:pPr>
      <w:r>
        <w:br w:type="page"/>
      </w:r>
    </w:p>
    <w:p w:rsidR="00780F0F" w:rsidRPr="00561D4E" w:rsidRDefault="00780F0F" w:rsidP="008E3051">
      <w:pPr>
        <w:pStyle w:val="Heading2"/>
      </w:pPr>
      <w:bookmarkStart w:id="46" w:name="_Toc477338761"/>
      <w:r w:rsidRPr="0096158C">
        <w:t>Goal</w:t>
      </w:r>
      <w:r w:rsidR="002555F7">
        <w:t xml:space="preserve"> 3</w:t>
      </w:r>
      <w:r w:rsidRPr="0096158C">
        <w:t xml:space="preserve">: Young people </w:t>
      </w:r>
      <w:r w:rsidR="000F2016" w:rsidRPr="0096158C">
        <w:t>have education pathways and meaningful employment opportunities</w:t>
      </w:r>
      <w:bookmarkEnd w:id="46"/>
    </w:p>
    <w:p w:rsidR="00780F0F" w:rsidRPr="00561D4E" w:rsidRDefault="005D01F9" w:rsidP="008E3051">
      <w:pPr>
        <w:pStyle w:val="Heading3"/>
      </w:pPr>
      <w:bookmarkStart w:id="47" w:name="_Toc477338762"/>
      <w:r w:rsidRPr="00561D4E">
        <w:t>Theme: Young people disengaged from education and employment</w:t>
      </w:r>
      <w:bookmarkEnd w:id="47"/>
    </w:p>
    <w:p w:rsidR="001B7C46" w:rsidRPr="00561D4E" w:rsidRDefault="001B7C46" w:rsidP="001D0386">
      <w:pPr>
        <w:jc w:val="both"/>
      </w:pPr>
      <w:r w:rsidRPr="00561D4E">
        <w:rPr>
          <w:b/>
        </w:rPr>
        <w:t>Rationale:</w:t>
      </w:r>
      <w:r w:rsidRPr="00561D4E">
        <w:t xml:space="preserve"> local data outlines a concerning amount of young people disengaged and without meaningful pathways for education and/or employment; education and employment are key protective factors associated with crime</w:t>
      </w:r>
    </w:p>
    <w:p w:rsidR="00561D4E" w:rsidRDefault="00561D4E" w:rsidP="001D0386">
      <w:pPr>
        <w:jc w:val="both"/>
      </w:pPr>
    </w:p>
    <w:p w:rsidR="0096158C" w:rsidRPr="00561D4E" w:rsidRDefault="0096158C" w:rsidP="001D0386">
      <w:pPr>
        <w:jc w:val="both"/>
      </w:pPr>
      <w:r w:rsidRPr="00561D4E">
        <w:rPr>
          <w:b/>
        </w:rPr>
        <w:t>What success will look like over time:</w:t>
      </w:r>
      <w:r w:rsidRPr="00561D4E">
        <w:t xml:space="preserve"> </w:t>
      </w:r>
      <w:r w:rsidR="00F65AD5" w:rsidRPr="00561D4E">
        <w:t xml:space="preserve">Increased employment opportunities and education </w:t>
      </w:r>
      <w:proofErr w:type="gramStart"/>
      <w:r w:rsidR="00F65AD5" w:rsidRPr="00561D4E">
        <w:t>pathways</w:t>
      </w:r>
      <w:proofErr w:type="gramEnd"/>
      <w:r w:rsidR="0084144F" w:rsidRPr="00561D4E">
        <w:t xml:space="preserve"> </w:t>
      </w:r>
    </w:p>
    <w:p w:rsidR="00561D4E" w:rsidRDefault="00561D4E" w:rsidP="001D0386">
      <w:pPr>
        <w:jc w:val="both"/>
      </w:pPr>
    </w:p>
    <w:p w:rsidR="0096158C" w:rsidRPr="00561D4E" w:rsidRDefault="0096158C" w:rsidP="001D0386">
      <w:pPr>
        <w:jc w:val="both"/>
      </w:pPr>
      <w:r w:rsidRPr="00561D4E">
        <w:rPr>
          <w:b/>
        </w:rPr>
        <w:t>Tools to measure progress:</w:t>
      </w:r>
      <w:r w:rsidR="00561D4E">
        <w:t xml:space="preserve"> </w:t>
      </w:r>
      <w:r w:rsidR="00265345" w:rsidRPr="00561D4E">
        <w:t xml:space="preserve">Hume and Whittlesea Learning and Employment Network data and trends, </w:t>
      </w:r>
      <w:r w:rsidR="00B2067A" w:rsidRPr="00561D4E">
        <w:t xml:space="preserve">Reports from </w:t>
      </w:r>
      <w:r w:rsidR="006D29AC" w:rsidRPr="00561D4E">
        <w:t>City of Whittlesea Jobs and Investment Strategy</w:t>
      </w:r>
    </w:p>
    <w:p w:rsidR="0096158C" w:rsidRDefault="0096158C" w:rsidP="001D0386">
      <w:pPr>
        <w:jc w:val="both"/>
      </w:pPr>
    </w:p>
    <w:p w:rsidR="000111C7" w:rsidRPr="00561D4E" w:rsidRDefault="000111C7" w:rsidP="008E3051">
      <w:pPr>
        <w:pStyle w:val="Heading2"/>
      </w:pPr>
      <w:bookmarkStart w:id="48" w:name="_Toc477338763"/>
      <w:r w:rsidRPr="0096158C">
        <w:t>Goal</w:t>
      </w:r>
      <w:r w:rsidR="002555F7">
        <w:t xml:space="preserve"> 4</w:t>
      </w:r>
      <w:r w:rsidRPr="0096158C">
        <w:t>: Dangerous driving is minimised</w:t>
      </w:r>
      <w:bookmarkEnd w:id="48"/>
    </w:p>
    <w:p w:rsidR="00916025" w:rsidRPr="00561D4E" w:rsidRDefault="005D01F9" w:rsidP="008E3051">
      <w:pPr>
        <w:pStyle w:val="Heading3"/>
      </w:pPr>
      <w:bookmarkStart w:id="49" w:name="_Toc477338764"/>
      <w:r w:rsidRPr="00561D4E">
        <w:t>Theme: Unsafe driving</w:t>
      </w:r>
      <w:bookmarkEnd w:id="49"/>
    </w:p>
    <w:p w:rsidR="00561D4E" w:rsidRDefault="00561D4E" w:rsidP="001D0386">
      <w:pPr>
        <w:jc w:val="both"/>
      </w:pPr>
    </w:p>
    <w:p w:rsidR="001B7C46" w:rsidRPr="00561D4E" w:rsidRDefault="001B7C46" w:rsidP="001D0386">
      <w:pPr>
        <w:jc w:val="both"/>
      </w:pPr>
      <w:r w:rsidRPr="00561D4E">
        <w:rPr>
          <w:b/>
        </w:rPr>
        <w:t>Rationale:</w:t>
      </w:r>
      <w:r w:rsidRPr="00561D4E">
        <w:t xml:space="preserve"> </w:t>
      </w:r>
      <w:r w:rsidR="003F05C8" w:rsidRPr="00561D4E">
        <w:t xml:space="preserve">community </w:t>
      </w:r>
      <w:r w:rsidRPr="00561D4E">
        <w:t>consultations i</w:t>
      </w:r>
      <w:r w:rsidR="003F05C8" w:rsidRPr="00561D4E">
        <w:t>dentify</w:t>
      </w:r>
      <w:r w:rsidRPr="00561D4E">
        <w:t xml:space="preserve"> dangerous driving as a significant concern for </w:t>
      </w:r>
      <w:r w:rsidR="003F05C8" w:rsidRPr="00561D4E">
        <w:t>residents’</w:t>
      </w:r>
      <w:r w:rsidRPr="00561D4E">
        <w:t xml:space="preserve"> safety; local support services </w:t>
      </w:r>
      <w:r w:rsidR="003F05C8" w:rsidRPr="00561D4E">
        <w:t xml:space="preserve">also </w:t>
      </w:r>
      <w:r w:rsidRPr="00561D4E">
        <w:t xml:space="preserve">outline </w:t>
      </w:r>
      <w:r w:rsidR="003F05C8" w:rsidRPr="00561D4E">
        <w:t>dangerous driving as a concern, particularly for young people</w:t>
      </w:r>
    </w:p>
    <w:p w:rsidR="00561D4E" w:rsidRDefault="00561D4E" w:rsidP="001D0386">
      <w:pPr>
        <w:jc w:val="both"/>
      </w:pPr>
    </w:p>
    <w:p w:rsidR="0096158C" w:rsidRPr="00561D4E" w:rsidRDefault="0096158C" w:rsidP="001D0386">
      <w:pPr>
        <w:jc w:val="both"/>
      </w:pPr>
      <w:r w:rsidRPr="00561D4E">
        <w:rPr>
          <w:b/>
        </w:rPr>
        <w:t>What success will look like over time:</w:t>
      </w:r>
      <w:r w:rsidR="00561D4E">
        <w:t xml:space="preserve"> </w:t>
      </w:r>
      <w:r w:rsidR="00B2067A" w:rsidRPr="00561D4E">
        <w:t xml:space="preserve">improved awareness of risk of unsafe </w:t>
      </w:r>
      <w:proofErr w:type="gramStart"/>
      <w:r w:rsidR="00B2067A" w:rsidRPr="00561D4E">
        <w:t>driving</w:t>
      </w:r>
      <w:proofErr w:type="gramEnd"/>
      <w:r w:rsidR="0084144F" w:rsidRPr="00561D4E">
        <w:t xml:space="preserve"> </w:t>
      </w:r>
    </w:p>
    <w:p w:rsidR="00561D4E" w:rsidRDefault="00561D4E" w:rsidP="001D0386">
      <w:pPr>
        <w:jc w:val="both"/>
      </w:pPr>
    </w:p>
    <w:p w:rsidR="0096158C" w:rsidRPr="00561D4E" w:rsidRDefault="0096158C" w:rsidP="001D0386">
      <w:pPr>
        <w:jc w:val="both"/>
      </w:pPr>
      <w:r w:rsidRPr="00561D4E">
        <w:rPr>
          <w:b/>
        </w:rPr>
        <w:t>Tools to measure progress:</w:t>
      </w:r>
      <w:r w:rsidR="00561D4E">
        <w:t xml:space="preserve"> </w:t>
      </w:r>
      <w:r w:rsidR="00441C1F" w:rsidRPr="00561D4E">
        <w:t>R</w:t>
      </w:r>
      <w:r w:rsidR="00B2067A" w:rsidRPr="00561D4E">
        <w:t xml:space="preserve">eports from </w:t>
      </w:r>
      <w:r w:rsidR="006D29AC" w:rsidRPr="00561D4E">
        <w:t>City of Whittlesea Road Safety Strategy (in development)</w:t>
      </w:r>
    </w:p>
    <w:p w:rsidR="006D29AC" w:rsidRDefault="006D29AC" w:rsidP="001D0386">
      <w:pPr>
        <w:jc w:val="both"/>
        <w:rPr>
          <w:b/>
        </w:rPr>
      </w:pPr>
    </w:p>
    <w:p w:rsidR="008C580A" w:rsidRPr="00561D4E" w:rsidRDefault="008C580A" w:rsidP="008E3051">
      <w:pPr>
        <w:pStyle w:val="Heading2"/>
      </w:pPr>
      <w:bookmarkStart w:id="50" w:name="_Toc477338765"/>
      <w:r w:rsidRPr="0096158C">
        <w:t>Goal</w:t>
      </w:r>
      <w:r w:rsidR="002555F7">
        <w:t xml:space="preserve"> 5</w:t>
      </w:r>
      <w:r w:rsidRPr="0096158C">
        <w:t>: Harms and negative impacts</w:t>
      </w:r>
      <w:r w:rsidR="00F93BBE" w:rsidRPr="0096158C">
        <w:t xml:space="preserve"> of financial vulnerability</w:t>
      </w:r>
      <w:r w:rsidRPr="0096158C">
        <w:t xml:space="preserve"> on </w:t>
      </w:r>
      <w:r w:rsidR="00F93BBE" w:rsidRPr="0096158C">
        <w:t xml:space="preserve">community </w:t>
      </w:r>
      <w:r w:rsidRPr="0096158C">
        <w:t>safety are minimised</w:t>
      </w:r>
      <w:bookmarkEnd w:id="50"/>
    </w:p>
    <w:p w:rsidR="00F909C7" w:rsidRPr="00561D4E" w:rsidRDefault="005D01F9" w:rsidP="008E3051">
      <w:pPr>
        <w:pStyle w:val="Heading3"/>
      </w:pPr>
      <w:bookmarkStart w:id="51" w:name="_Toc477338766"/>
      <w:r w:rsidRPr="00561D4E">
        <w:t>Theme:</w:t>
      </w:r>
      <w:r w:rsidR="00F93BBE" w:rsidRPr="00561D4E">
        <w:t xml:space="preserve"> </w:t>
      </w:r>
      <w:r w:rsidR="00B874B9" w:rsidRPr="00561D4E">
        <w:t>F</w:t>
      </w:r>
      <w:r w:rsidR="00F93BBE" w:rsidRPr="00561D4E">
        <w:t xml:space="preserve">inancial vulnerability and </w:t>
      </w:r>
      <w:r w:rsidR="0096158C" w:rsidRPr="00561D4E">
        <w:t>debt</w:t>
      </w:r>
      <w:bookmarkEnd w:id="51"/>
    </w:p>
    <w:p w:rsidR="00561D4E" w:rsidRDefault="00561D4E" w:rsidP="001D0386">
      <w:pPr>
        <w:jc w:val="both"/>
      </w:pPr>
    </w:p>
    <w:p w:rsidR="003F05C8" w:rsidRPr="00561D4E" w:rsidRDefault="003F05C8" w:rsidP="001D0386">
      <w:pPr>
        <w:jc w:val="both"/>
      </w:pPr>
      <w:r w:rsidRPr="00561D4E">
        <w:rPr>
          <w:b/>
        </w:rPr>
        <w:t>Rationale:</w:t>
      </w:r>
      <w:r w:rsidRPr="00561D4E">
        <w:t xml:space="preserve"> evidence outlines financial vulnerability is a key risk factor and an outcome of </w:t>
      </w:r>
      <w:r w:rsidRPr="007A44CE">
        <w:t>crime</w:t>
      </w:r>
      <w:r w:rsidR="00DF34B1" w:rsidRPr="007A44CE">
        <w:t xml:space="preserve"> and negative community safety </w:t>
      </w:r>
      <w:r w:rsidR="00E940DD" w:rsidRPr="007A44CE">
        <w:t xml:space="preserve">outcomes </w:t>
      </w:r>
      <w:r w:rsidR="00DF34B1" w:rsidRPr="007A44CE">
        <w:t>such as homelessness</w:t>
      </w:r>
      <w:r w:rsidRPr="007A44CE">
        <w:t>; local data reveals local factors exacerbating financial</w:t>
      </w:r>
      <w:r w:rsidRPr="00561D4E">
        <w:t xml:space="preserve"> vulnerability </w:t>
      </w:r>
    </w:p>
    <w:p w:rsidR="00561D4E" w:rsidRDefault="00561D4E" w:rsidP="001D0386">
      <w:pPr>
        <w:jc w:val="both"/>
      </w:pPr>
    </w:p>
    <w:p w:rsidR="0096158C" w:rsidRPr="00561D4E" w:rsidRDefault="0096158C" w:rsidP="001D0386">
      <w:pPr>
        <w:jc w:val="both"/>
      </w:pPr>
      <w:r w:rsidRPr="00561D4E">
        <w:rPr>
          <w:b/>
        </w:rPr>
        <w:t>What success will look like over time:</w:t>
      </w:r>
      <w:r w:rsidR="00B2067A" w:rsidRPr="00561D4E">
        <w:t xml:space="preserve"> </w:t>
      </w:r>
      <w:r w:rsidR="00E6080A" w:rsidRPr="00561D4E">
        <w:t xml:space="preserve">responsive initiatives reaching vulnerable </w:t>
      </w:r>
      <w:proofErr w:type="gramStart"/>
      <w:r w:rsidR="00E6080A" w:rsidRPr="00561D4E">
        <w:t>groups</w:t>
      </w:r>
      <w:proofErr w:type="gramEnd"/>
      <w:r w:rsidR="008F2FF6" w:rsidRPr="00561D4E">
        <w:t xml:space="preserve"> </w:t>
      </w:r>
    </w:p>
    <w:p w:rsidR="00561D4E" w:rsidRDefault="00561D4E" w:rsidP="001D0386">
      <w:pPr>
        <w:jc w:val="both"/>
      </w:pPr>
    </w:p>
    <w:p w:rsidR="0096158C" w:rsidRPr="00561D4E" w:rsidRDefault="0096158C" w:rsidP="001D0386">
      <w:pPr>
        <w:jc w:val="both"/>
      </w:pPr>
      <w:r w:rsidRPr="00561D4E">
        <w:rPr>
          <w:b/>
        </w:rPr>
        <w:t>Tools to measure progress:</w:t>
      </w:r>
      <w:r w:rsidR="00561D4E">
        <w:t xml:space="preserve"> </w:t>
      </w:r>
      <w:r w:rsidR="00B2067A" w:rsidRPr="00561D4E">
        <w:t xml:space="preserve">Annual Household Survey financial vulnerability data, Reports from </w:t>
      </w:r>
      <w:r w:rsidR="007C36A6" w:rsidRPr="00561D4E">
        <w:t xml:space="preserve">Department of Justice and </w:t>
      </w:r>
      <w:r w:rsidR="00B2067A" w:rsidRPr="00561D4E">
        <w:t>Regulation on outstanding warrants and infringements and</w:t>
      </w:r>
      <w:r w:rsidR="007C36A6" w:rsidRPr="00561D4E">
        <w:t xml:space="preserve"> </w:t>
      </w:r>
      <w:r w:rsidR="00A74A6A" w:rsidRPr="00561D4E">
        <w:t xml:space="preserve">Victorian </w:t>
      </w:r>
      <w:r w:rsidR="007C36A6" w:rsidRPr="00561D4E">
        <w:t>Sherriff data</w:t>
      </w:r>
    </w:p>
    <w:p w:rsidR="0038666D" w:rsidRPr="00561D4E" w:rsidRDefault="0038666D" w:rsidP="008E3051">
      <w:pPr>
        <w:pStyle w:val="Heading2"/>
      </w:pPr>
      <w:bookmarkStart w:id="52" w:name="_Toc477338767"/>
      <w:r w:rsidRPr="0096158C">
        <w:t>Goal</w:t>
      </w:r>
      <w:r w:rsidR="002555F7">
        <w:t xml:space="preserve"> 6</w:t>
      </w:r>
      <w:r w:rsidRPr="0096158C">
        <w:t xml:space="preserve">: Harms from alcohol are </w:t>
      </w:r>
      <w:r w:rsidR="00B2067A">
        <w:t>minimised</w:t>
      </w:r>
      <w:bookmarkEnd w:id="52"/>
    </w:p>
    <w:p w:rsidR="003F6D39" w:rsidRPr="00561D4E" w:rsidRDefault="0096158C" w:rsidP="008E3051">
      <w:pPr>
        <w:pStyle w:val="Heading3"/>
      </w:pPr>
      <w:bookmarkStart w:id="53" w:name="_Toc477338768"/>
      <w:r w:rsidRPr="00561D4E">
        <w:t>Theme:</w:t>
      </w:r>
      <w:r w:rsidR="00C411BF" w:rsidRPr="00561D4E">
        <w:t xml:space="preserve"> </w:t>
      </w:r>
      <w:r w:rsidRPr="00561D4E">
        <w:t>Alcohol</w:t>
      </w:r>
      <w:bookmarkEnd w:id="53"/>
      <w:r w:rsidR="0038666D" w:rsidRPr="00561D4E">
        <w:t xml:space="preserve"> </w:t>
      </w:r>
    </w:p>
    <w:p w:rsidR="003F05C8" w:rsidRPr="00561D4E" w:rsidRDefault="003F05C8" w:rsidP="001D0386">
      <w:pPr>
        <w:jc w:val="both"/>
      </w:pPr>
      <w:r w:rsidRPr="00561D4E">
        <w:rPr>
          <w:b/>
        </w:rPr>
        <w:t>Rationale:</w:t>
      </w:r>
      <w:r w:rsidRPr="00561D4E">
        <w:t xml:space="preserve"> alcohol use is a significant factor in many crimes; harms from alcohol use (either their own</w:t>
      </w:r>
      <w:r w:rsidR="00EE4491" w:rsidRPr="00561D4E">
        <w:t xml:space="preserve"> use</w:t>
      </w:r>
      <w:r w:rsidRPr="00561D4E">
        <w:t xml:space="preserve"> or someone else’s) directly impact residents’ health, wellbeing and safety and local crime data</w:t>
      </w:r>
    </w:p>
    <w:p w:rsidR="00561D4E" w:rsidRDefault="00561D4E" w:rsidP="001D0386">
      <w:pPr>
        <w:jc w:val="both"/>
      </w:pPr>
    </w:p>
    <w:p w:rsidR="0084144F" w:rsidRPr="00561D4E" w:rsidRDefault="0096158C" w:rsidP="001D0386">
      <w:pPr>
        <w:jc w:val="both"/>
      </w:pPr>
      <w:r w:rsidRPr="00561D4E">
        <w:rPr>
          <w:b/>
        </w:rPr>
        <w:t>What success will look like over time:</w:t>
      </w:r>
      <w:r w:rsidR="00561D4E">
        <w:t xml:space="preserve"> </w:t>
      </w:r>
      <w:r w:rsidR="003F0CF9" w:rsidRPr="00561D4E">
        <w:t>Responsive initiatives delivered in key settings</w:t>
      </w:r>
      <w:r w:rsidR="000E1AEE">
        <w:t xml:space="preserve"> to minimise</w:t>
      </w:r>
      <w:r w:rsidR="00845113" w:rsidRPr="00561D4E">
        <w:t xml:space="preserve"> h</w:t>
      </w:r>
      <w:r w:rsidR="00441C1F" w:rsidRPr="00561D4E">
        <w:t>arms from alcohol</w:t>
      </w:r>
      <w:r w:rsidR="00845113" w:rsidRPr="00561D4E">
        <w:t xml:space="preserve"> </w:t>
      </w:r>
    </w:p>
    <w:p w:rsidR="00561D4E" w:rsidRDefault="00561D4E" w:rsidP="001D0386">
      <w:pPr>
        <w:jc w:val="both"/>
      </w:pPr>
    </w:p>
    <w:p w:rsidR="0096158C" w:rsidRPr="00561D4E" w:rsidRDefault="0096158C" w:rsidP="001D0386">
      <w:pPr>
        <w:jc w:val="both"/>
      </w:pPr>
      <w:r w:rsidRPr="00561D4E">
        <w:rPr>
          <w:b/>
        </w:rPr>
        <w:t>Tools to measure progress:</w:t>
      </w:r>
      <w:r w:rsidR="00561D4E">
        <w:t xml:space="preserve"> </w:t>
      </w:r>
      <w:r w:rsidR="00FF53ED" w:rsidRPr="00561D4E">
        <w:t>Victoria Police alcohol related family violence incidents data, ‘AOD stats’ – Turning Point</w:t>
      </w:r>
      <w:r w:rsidR="006D29AC" w:rsidRPr="00561D4E">
        <w:t xml:space="preserve">, YSAS and </w:t>
      </w:r>
      <w:proofErr w:type="spellStart"/>
      <w:r w:rsidR="006D29AC" w:rsidRPr="00561D4E">
        <w:t>ReGen</w:t>
      </w:r>
      <w:proofErr w:type="spellEnd"/>
      <w:r w:rsidR="006D29AC" w:rsidRPr="00561D4E">
        <w:t xml:space="preserve"> data and trends, </w:t>
      </w:r>
      <w:r w:rsidR="009E735F">
        <w:t>r</w:t>
      </w:r>
      <w:r w:rsidR="00441C1F" w:rsidRPr="00561D4E">
        <w:t xml:space="preserve">eports from </w:t>
      </w:r>
      <w:r w:rsidR="006D29AC" w:rsidRPr="00561D4E">
        <w:t>Preventing Alcohol Related Harm in the City of Whittlesea Policy and Action Plan</w:t>
      </w:r>
    </w:p>
    <w:p w:rsidR="0096158C" w:rsidRDefault="0096158C" w:rsidP="001D0386">
      <w:pPr>
        <w:jc w:val="both"/>
      </w:pPr>
    </w:p>
    <w:p w:rsidR="0038666D" w:rsidRPr="00561D4E" w:rsidRDefault="0038666D" w:rsidP="008E3051">
      <w:pPr>
        <w:pStyle w:val="Heading2"/>
      </w:pPr>
      <w:bookmarkStart w:id="54" w:name="_Toc477338769"/>
      <w:r w:rsidRPr="0096158C">
        <w:t>Goal</w:t>
      </w:r>
      <w:r w:rsidR="002555F7">
        <w:t xml:space="preserve"> 7</w:t>
      </w:r>
      <w:r w:rsidRPr="0096158C">
        <w:t xml:space="preserve">: Harms from illicit drugs are </w:t>
      </w:r>
      <w:r w:rsidR="00DC7D8F">
        <w:t>minimised</w:t>
      </w:r>
      <w:bookmarkEnd w:id="54"/>
    </w:p>
    <w:p w:rsidR="0068282E" w:rsidRPr="00561D4E" w:rsidRDefault="0096158C" w:rsidP="008E3051">
      <w:pPr>
        <w:pStyle w:val="Heading3"/>
      </w:pPr>
      <w:bookmarkStart w:id="55" w:name="_Toc477338770"/>
      <w:r w:rsidRPr="00561D4E">
        <w:t>Theme: I</w:t>
      </w:r>
      <w:r w:rsidR="000522F7" w:rsidRPr="00561D4E">
        <w:t>llicit drugs</w:t>
      </w:r>
      <w:bookmarkEnd w:id="55"/>
    </w:p>
    <w:p w:rsidR="00561D4E" w:rsidRDefault="00561D4E" w:rsidP="001D0386">
      <w:pPr>
        <w:jc w:val="both"/>
      </w:pPr>
    </w:p>
    <w:p w:rsidR="003F05C8" w:rsidRPr="00561D4E" w:rsidRDefault="003F05C8" w:rsidP="001D0386">
      <w:pPr>
        <w:jc w:val="both"/>
      </w:pPr>
      <w:r w:rsidRPr="00561D4E">
        <w:rPr>
          <w:b/>
        </w:rPr>
        <w:t>Rationale:</w:t>
      </w:r>
      <w:r w:rsidRPr="00561D4E">
        <w:t xml:space="preserve"> like alcohol, illicit drug use is a significant factor in many crimes; harms from illicit drug use (either their own </w:t>
      </w:r>
      <w:r w:rsidR="00EE4491" w:rsidRPr="00561D4E">
        <w:t xml:space="preserve">use </w:t>
      </w:r>
      <w:r w:rsidRPr="00561D4E">
        <w:t>or someone else’s) directly impact</w:t>
      </w:r>
      <w:r w:rsidR="00EE4491" w:rsidRPr="00561D4E">
        <w:t>s</w:t>
      </w:r>
      <w:r w:rsidRPr="00561D4E">
        <w:t xml:space="preserve"> residents’ health, wellbeing and safety and local crime data</w:t>
      </w:r>
    </w:p>
    <w:p w:rsidR="00561D4E" w:rsidRDefault="00561D4E" w:rsidP="001D0386">
      <w:pPr>
        <w:jc w:val="both"/>
      </w:pPr>
    </w:p>
    <w:p w:rsidR="0096158C" w:rsidRPr="00561D4E" w:rsidRDefault="0096158C" w:rsidP="001D0386">
      <w:pPr>
        <w:jc w:val="both"/>
      </w:pPr>
      <w:r w:rsidRPr="00561D4E">
        <w:rPr>
          <w:b/>
        </w:rPr>
        <w:t>What success will look like over time:</w:t>
      </w:r>
      <w:r w:rsidR="00561D4E">
        <w:t xml:space="preserve"> </w:t>
      </w:r>
      <w:r w:rsidR="00441C1F" w:rsidRPr="00561D4E">
        <w:t xml:space="preserve">Harms from illicit drugs are </w:t>
      </w:r>
      <w:r w:rsidR="003F0CF9" w:rsidRPr="00561D4E">
        <w:t>minimised</w:t>
      </w:r>
    </w:p>
    <w:p w:rsidR="00561D4E" w:rsidRDefault="00561D4E" w:rsidP="001D0386">
      <w:pPr>
        <w:jc w:val="both"/>
      </w:pPr>
    </w:p>
    <w:p w:rsidR="0096158C" w:rsidRPr="00561D4E" w:rsidRDefault="0096158C" w:rsidP="001D0386">
      <w:pPr>
        <w:jc w:val="both"/>
      </w:pPr>
      <w:r w:rsidRPr="00561D4E">
        <w:rPr>
          <w:b/>
        </w:rPr>
        <w:t>Tools to measure progress:</w:t>
      </w:r>
      <w:r w:rsidRPr="00561D4E">
        <w:t xml:space="preserve"> </w:t>
      </w:r>
      <w:r w:rsidR="006D29AC" w:rsidRPr="00561D4E">
        <w:t xml:space="preserve">‘AOD Stats’ – Turning Point, YSAS and </w:t>
      </w:r>
      <w:proofErr w:type="spellStart"/>
      <w:r w:rsidR="006D29AC" w:rsidRPr="00561D4E">
        <w:t>ReGen</w:t>
      </w:r>
      <w:proofErr w:type="spellEnd"/>
      <w:r w:rsidR="006D29AC" w:rsidRPr="00561D4E">
        <w:t xml:space="preserve"> data and trends</w:t>
      </w:r>
    </w:p>
    <w:p w:rsidR="0096158C" w:rsidRDefault="0096158C" w:rsidP="001D0386">
      <w:pPr>
        <w:jc w:val="both"/>
      </w:pPr>
    </w:p>
    <w:p w:rsidR="000522F7" w:rsidRPr="00561D4E" w:rsidRDefault="000522F7" w:rsidP="008E3051">
      <w:pPr>
        <w:pStyle w:val="Heading2"/>
      </w:pPr>
      <w:bookmarkStart w:id="56" w:name="_Toc477338771"/>
      <w:r w:rsidRPr="0096158C">
        <w:t>Goal</w:t>
      </w:r>
      <w:r w:rsidR="002555F7">
        <w:t xml:space="preserve"> 8</w:t>
      </w:r>
      <w:r w:rsidRPr="0096158C">
        <w:t xml:space="preserve">: Women and children live free from </w:t>
      </w:r>
      <w:r w:rsidR="00C411BF" w:rsidRPr="0096158C">
        <w:t xml:space="preserve">family </w:t>
      </w:r>
      <w:r w:rsidRPr="0096158C">
        <w:t>violence</w:t>
      </w:r>
      <w:bookmarkEnd w:id="56"/>
    </w:p>
    <w:p w:rsidR="00BD44EC" w:rsidRPr="00474650" w:rsidRDefault="0096158C" w:rsidP="008E3051">
      <w:pPr>
        <w:pStyle w:val="Heading3"/>
      </w:pPr>
      <w:bookmarkStart w:id="57" w:name="_Toc477338772"/>
      <w:r w:rsidRPr="00474650">
        <w:t>Theme</w:t>
      </w:r>
      <w:r w:rsidR="000522F7" w:rsidRPr="00474650">
        <w:t xml:space="preserve">: </w:t>
      </w:r>
      <w:r w:rsidRPr="00474650">
        <w:t>Family violence</w:t>
      </w:r>
      <w:bookmarkEnd w:id="57"/>
    </w:p>
    <w:p w:rsidR="00474650" w:rsidRDefault="00474650" w:rsidP="001D0386">
      <w:pPr>
        <w:jc w:val="both"/>
      </w:pPr>
    </w:p>
    <w:p w:rsidR="00EE4491" w:rsidRPr="00561D4E" w:rsidRDefault="00EE4491" w:rsidP="001D0386">
      <w:pPr>
        <w:jc w:val="both"/>
      </w:pPr>
      <w:r w:rsidRPr="00474650">
        <w:rPr>
          <w:b/>
        </w:rPr>
        <w:t>Rationale:</w:t>
      </w:r>
      <w:r w:rsidRPr="00561D4E">
        <w:t xml:space="preserve"> local family violence rates are higher than the State and many other municipalities; family violence is a contributor to other crimes and growing up within family violence significantly impacts children and young people’s development</w:t>
      </w:r>
    </w:p>
    <w:p w:rsidR="00561D4E" w:rsidRDefault="00561D4E" w:rsidP="001D0386">
      <w:pPr>
        <w:jc w:val="both"/>
      </w:pPr>
    </w:p>
    <w:p w:rsidR="0096158C" w:rsidRPr="00561D4E" w:rsidRDefault="0096158C" w:rsidP="001D0386">
      <w:pPr>
        <w:jc w:val="both"/>
      </w:pPr>
      <w:r w:rsidRPr="00474650">
        <w:rPr>
          <w:b/>
        </w:rPr>
        <w:t>What success will look like over time:</w:t>
      </w:r>
      <w:r w:rsidR="00474650">
        <w:t xml:space="preserve"> </w:t>
      </w:r>
      <w:r w:rsidR="00265345" w:rsidRPr="00561D4E">
        <w:t>Improved understanding and awareness</w:t>
      </w:r>
      <w:r w:rsidR="004203AA" w:rsidRPr="00561D4E">
        <w:t xml:space="preserve"> of family violence</w:t>
      </w:r>
      <w:r w:rsidR="00265345" w:rsidRPr="00561D4E">
        <w:t xml:space="preserve">, improved attitudes to gender </w:t>
      </w:r>
      <w:proofErr w:type="gramStart"/>
      <w:r w:rsidR="00265345" w:rsidRPr="00561D4E">
        <w:t>equity</w:t>
      </w:r>
      <w:proofErr w:type="gramEnd"/>
      <w:r w:rsidR="0084144F" w:rsidRPr="00561D4E">
        <w:t xml:space="preserve"> </w:t>
      </w:r>
    </w:p>
    <w:p w:rsidR="00561D4E" w:rsidRDefault="00561D4E" w:rsidP="001D0386">
      <w:pPr>
        <w:jc w:val="both"/>
      </w:pPr>
    </w:p>
    <w:p w:rsidR="004203AA" w:rsidRPr="00561D4E" w:rsidRDefault="0096158C" w:rsidP="001D0386">
      <w:pPr>
        <w:jc w:val="both"/>
      </w:pPr>
      <w:r w:rsidRPr="00474650">
        <w:rPr>
          <w:b/>
        </w:rPr>
        <w:t>Tools to measure progress:</w:t>
      </w:r>
      <w:r w:rsidR="00474650">
        <w:t xml:space="preserve"> </w:t>
      </w:r>
      <w:r w:rsidR="00441C1F" w:rsidRPr="00561D4E">
        <w:t xml:space="preserve">Reports from </w:t>
      </w:r>
      <w:r w:rsidR="00265345" w:rsidRPr="00561D4E">
        <w:t xml:space="preserve">City of Whittlesea Family Violence Strategy, </w:t>
      </w:r>
      <w:r w:rsidR="00441C1F" w:rsidRPr="00561D4E">
        <w:t xml:space="preserve">Reports from </w:t>
      </w:r>
      <w:r w:rsidR="00265345" w:rsidRPr="00561D4E">
        <w:t>City of Whittlesea Gender Equity Strategy, National Community Attitudes Survey</w:t>
      </w:r>
    </w:p>
    <w:p w:rsidR="00265345" w:rsidRPr="00561D4E" w:rsidRDefault="00265345" w:rsidP="001D0386">
      <w:pPr>
        <w:jc w:val="both"/>
        <w:rPr>
          <w:sz w:val="22"/>
        </w:rPr>
      </w:pPr>
    </w:p>
    <w:p w:rsidR="005A455A" w:rsidRDefault="005A455A">
      <w:pPr>
        <w:rPr>
          <w:b/>
          <w:color w:val="072B61"/>
          <w:sz w:val="36"/>
          <w:szCs w:val="36"/>
        </w:rPr>
      </w:pPr>
      <w:r>
        <w:br w:type="page"/>
      </w:r>
    </w:p>
    <w:p w:rsidR="00F16DAE" w:rsidRPr="00561D4E" w:rsidRDefault="00F16DAE" w:rsidP="008E3051">
      <w:pPr>
        <w:pStyle w:val="Heading2"/>
      </w:pPr>
      <w:bookmarkStart w:id="58" w:name="_Toc477338773"/>
      <w:r w:rsidRPr="0096158C">
        <w:t>Goal</w:t>
      </w:r>
      <w:r w:rsidR="002555F7">
        <w:t xml:space="preserve"> 9</w:t>
      </w:r>
      <w:r w:rsidRPr="0096158C">
        <w:t>: Employment programs are provided for key population groups</w:t>
      </w:r>
      <w:bookmarkEnd w:id="58"/>
    </w:p>
    <w:p w:rsidR="005351DE" w:rsidRPr="00474650" w:rsidRDefault="0096158C" w:rsidP="008E3051">
      <w:pPr>
        <w:pStyle w:val="Heading3"/>
      </w:pPr>
      <w:bookmarkStart w:id="59" w:name="_Toc477338774"/>
      <w:r w:rsidRPr="00474650">
        <w:t>Theme</w:t>
      </w:r>
      <w:r w:rsidR="006343A6" w:rsidRPr="00474650">
        <w:t xml:space="preserve">: </w:t>
      </w:r>
      <w:r w:rsidRPr="00474650">
        <w:t>Education and employment</w:t>
      </w:r>
      <w:bookmarkEnd w:id="59"/>
    </w:p>
    <w:p w:rsidR="00474650" w:rsidRDefault="00474650" w:rsidP="001D0386">
      <w:pPr>
        <w:jc w:val="both"/>
      </w:pPr>
    </w:p>
    <w:p w:rsidR="009259E6" w:rsidRPr="00561D4E" w:rsidRDefault="009259E6" w:rsidP="001D0386">
      <w:pPr>
        <w:jc w:val="both"/>
      </w:pPr>
      <w:r w:rsidRPr="00474650">
        <w:rPr>
          <w:b/>
        </w:rPr>
        <w:t>Rationale:</w:t>
      </w:r>
      <w:r w:rsidRPr="00561D4E">
        <w:t xml:space="preserve"> local data outlines unemployment and disengagement; education and employment are key protective factors associated with crime</w:t>
      </w:r>
    </w:p>
    <w:p w:rsidR="00561D4E" w:rsidRDefault="00561D4E" w:rsidP="001D0386">
      <w:pPr>
        <w:jc w:val="both"/>
      </w:pPr>
    </w:p>
    <w:p w:rsidR="0096158C" w:rsidRPr="00561D4E" w:rsidRDefault="0096158C" w:rsidP="001D0386">
      <w:pPr>
        <w:jc w:val="both"/>
      </w:pPr>
      <w:r w:rsidRPr="00474650">
        <w:rPr>
          <w:b/>
        </w:rPr>
        <w:t>What success will look like over time:</w:t>
      </w:r>
      <w:r w:rsidR="00474650">
        <w:t xml:space="preserve"> </w:t>
      </w:r>
      <w:r w:rsidR="006C1BB6" w:rsidRPr="00561D4E">
        <w:t xml:space="preserve">increased number of programs </w:t>
      </w:r>
      <w:r w:rsidR="00845113" w:rsidRPr="00561D4E">
        <w:t xml:space="preserve">reaching residents who experience significant barriers to employment </w:t>
      </w:r>
      <w:proofErr w:type="gramStart"/>
      <w:r w:rsidR="00845113" w:rsidRPr="00561D4E">
        <w:t>pathways</w:t>
      </w:r>
      <w:proofErr w:type="gramEnd"/>
      <w:r w:rsidR="00845113" w:rsidRPr="00561D4E">
        <w:t xml:space="preserve"> </w:t>
      </w:r>
    </w:p>
    <w:p w:rsidR="00561D4E" w:rsidRDefault="00561D4E" w:rsidP="001D0386">
      <w:pPr>
        <w:jc w:val="both"/>
      </w:pPr>
    </w:p>
    <w:p w:rsidR="0096158C" w:rsidRPr="00561D4E" w:rsidRDefault="0096158C" w:rsidP="001D0386">
      <w:pPr>
        <w:jc w:val="both"/>
      </w:pPr>
      <w:r w:rsidRPr="00474650">
        <w:rPr>
          <w:b/>
        </w:rPr>
        <w:t>Tools to measure progress:</w:t>
      </w:r>
      <w:r w:rsidR="00474650">
        <w:t xml:space="preserve"> </w:t>
      </w:r>
      <w:r w:rsidR="009E735F">
        <w:t>number of programs available, r</w:t>
      </w:r>
      <w:r w:rsidR="00441C1F" w:rsidRPr="00561D4E">
        <w:t xml:space="preserve">eports from </w:t>
      </w:r>
      <w:r w:rsidR="00265345" w:rsidRPr="00561D4E">
        <w:t>City of Whittlesea Jobs and Investment Strategy</w:t>
      </w:r>
    </w:p>
    <w:p w:rsidR="0096158C" w:rsidRPr="00561D4E" w:rsidRDefault="0096158C" w:rsidP="001D0386">
      <w:pPr>
        <w:jc w:val="both"/>
      </w:pPr>
    </w:p>
    <w:p w:rsidR="00A737F9" w:rsidRPr="00561D4E" w:rsidRDefault="00A737F9" w:rsidP="008E3051">
      <w:pPr>
        <w:pStyle w:val="Heading2"/>
      </w:pPr>
      <w:bookmarkStart w:id="60" w:name="_Toc477338775"/>
      <w:r w:rsidRPr="0096158C">
        <w:t>Goal</w:t>
      </w:r>
      <w:r w:rsidR="002555F7">
        <w:t xml:space="preserve"> 10</w:t>
      </w:r>
      <w:r w:rsidRPr="0096158C">
        <w:t>: Negative community safety impacts from electronic and online crime are minimised</w:t>
      </w:r>
      <w:bookmarkEnd w:id="60"/>
    </w:p>
    <w:p w:rsidR="00CE59A5" w:rsidRPr="00474650" w:rsidRDefault="0096158C" w:rsidP="008E3051">
      <w:pPr>
        <w:pStyle w:val="Heading3"/>
      </w:pPr>
      <w:bookmarkStart w:id="61" w:name="_Toc477338776"/>
      <w:r w:rsidRPr="00474650">
        <w:t>Theme: Electronic crime and online safety for children</w:t>
      </w:r>
      <w:bookmarkEnd w:id="61"/>
    </w:p>
    <w:p w:rsidR="00561D4E" w:rsidRDefault="00561D4E" w:rsidP="001D0386">
      <w:pPr>
        <w:jc w:val="both"/>
        <w:rPr>
          <w:b/>
        </w:rPr>
      </w:pPr>
    </w:p>
    <w:p w:rsidR="00FA2486" w:rsidRPr="00561D4E" w:rsidRDefault="00FA2486" w:rsidP="001D0386">
      <w:pPr>
        <w:jc w:val="both"/>
      </w:pPr>
      <w:r w:rsidRPr="00561D4E">
        <w:rPr>
          <w:b/>
        </w:rPr>
        <w:t>Rationale:</w:t>
      </w:r>
      <w:r w:rsidRPr="00561D4E">
        <w:t xml:space="preserve"> stakeholder consultations outline limited local capacity and </w:t>
      </w:r>
      <w:r w:rsidR="00B86737" w:rsidRPr="00561D4E">
        <w:t>knowledge</w:t>
      </w:r>
      <w:r w:rsidRPr="00561D4E">
        <w:t xml:space="preserve"> to address electronic and online crime; community consultations outline significant impacts and risks to the community particularly older adults and children; </w:t>
      </w:r>
    </w:p>
    <w:p w:rsidR="00561D4E" w:rsidRDefault="00561D4E" w:rsidP="001D0386">
      <w:pPr>
        <w:jc w:val="both"/>
      </w:pPr>
    </w:p>
    <w:p w:rsidR="0096158C" w:rsidRPr="00561D4E" w:rsidRDefault="0096158C" w:rsidP="001D0386">
      <w:pPr>
        <w:jc w:val="both"/>
      </w:pPr>
      <w:r w:rsidRPr="00561D4E">
        <w:rPr>
          <w:b/>
        </w:rPr>
        <w:t>What success will look like over time:</w:t>
      </w:r>
      <w:r w:rsidR="00474650">
        <w:t xml:space="preserve"> </w:t>
      </w:r>
      <w:r w:rsidR="00C064C5" w:rsidRPr="00561D4E">
        <w:t xml:space="preserve">Improved awareness of issues and </w:t>
      </w:r>
      <w:proofErr w:type="gramStart"/>
      <w:r w:rsidR="00C064C5" w:rsidRPr="00561D4E">
        <w:t>impacts</w:t>
      </w:r>
      <w:proofErr w:type="gramEnd"/>
      <w:r w:rsidR="0084144F" w:rsidRPr="00561D4E">
        <w:t xml:space="preserve"> </w:t>
      </w:r>
    </w:p>
    <w:p w:rsidR="00561D4E" w:rsidRDefault="00561D4E" w:rsidP="001D0386">
      <w:pPr>
        <w:jc w:val="both"/>
      </w:pPr>
    </w:p>
    <w:p w:rsidR="0096158C" w:rsidRPr="00561D4E" w:rsidRDefault="0096158C" w:rsidP="001D0386">
      <w:pPr>
        <w:jc w:val="both"/>
      </w:pPr>
      <w:r w:rsidRPr="00561D4E">
        <w:rPr>
          <w:b/>
        </w:rPr>
        <w:t>Tools to measure progress:</w:t>
      </w:r>
      <w:r w:rsidRPr="00561D4E">
        <w:t xml:space="preserve"> </w:t>
      </w:r>
      <w:r w:rsidR="00FA2486" w:rsidRPr="00561D4E">
        <w:t xml:space="preserve">scoping reports outline local trends, </w:t>
      </w:r>
      <w:r w:rsidR="00C064C5" w:rsidRPr="00561D4E">
        <w:t>number of education programs implemented and promoted</w:t>
      </w:r>
    </w:p>
    <w:p w:rsidR="0096158C" w:rsidRDefault="0096158C" w:rsidP="001D0386">
      <w:pPr>
        <w:jc w:val="both"/>
      </w:pPr>
    </w:p>
    <w:p w:rsidR="005D01F9" w:rsidRDefault="005D01F9">
      <w:pPr>
        <w:rPr>
          <w:rFonts w:eastAsiaTheme="majorEastAsia" w:cstheme="majorBidi"/>
          <w:b/>
          <w:bCs/>
          <w:color w:val="00A4E4"/>
          <w:sz w:val="44"/>
          <w:szCs w:val="28"/>
        </w:rPr>
      </w:pPr>
      <w:r>
        <w:br w:type="page"/>
      </w:r>
    </w:p>
    <w:p w:rsidR="007762B5" w:rsidRPr="003A5D30" w:rsidRDefault="003A5D30" w:rsidP="008E3051">
      <w:pPr>
        <w:pStyle w:val="Heading2"/>
      </w:pPr>
      <w:bookmarkStart w:id="62" w:name="_Toc477338777"/>
      <w:r>
        <w:t>References</w:t>
      </w:r>
      <w:bookmarkEnd w:id="62"/>
      <w:r>
        <w:t xml:space="preserve"> </w:t>
      </w:r>
    </w:p>
    <w:sectPr w:rsidR="007762B5" w:rsidRPr="003A5D30" w:rsidSect="00936D4A">
      <w:headerReference w:type="even" r:id="rId19"/>
      <w:headerReference w:type="default" r:id="rId20"/>
      <w:footerReference w:type="even" r:id="rId21"/>
      <w:footerReference w:type="default" r:id="rId22"/>
      <w:headerReference w:type="first" r:id="rId23"/>
      <w:footerReference w:type="first" r:id="rId24"/>
      <w:pgSz w:w="11906" w:h="16838"/>
      <w:pgMar w:top="1440" w:right="1797" w:bottom="1276" w:left="179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DE9" w:rsidRDefault="00AF4DE9" w:rsidP="00705DAD">
      <w:r>
        <w:separator/>
      </w:r>
    </w:p>
  </w:endnote>
  <w:endnote w:type="continuationSeparator" w:id="0">
    <w:p w:rsidR="00AF4DE9" w:rsidRDefault="00AF4DE9" w:rsidP="00705DAD">
      <w:r>
        <w:continuationSeparator/>
      </w:r>
    </w:p>
  </w:endnote>
  <w:endnote w:id="1">
    <w:p w:rsidR="00AF4DE9" w:rsidRDefault="00AF4DE9">
      <w:pPr>
        <w:pStyle w:val="EndnoteText"/>
      </w:pPr>
      <w:r>
        <w:rPr>
          <w:rStyle w:val="EndnoteReference"/>
        </w:rPr>
        <w:endnoteRef/>
      </w:r>
      <w:r>
        <w:t xml:space="preserve"> City of Whittlesea Community Safety and Crime Prevention Policy (2016)</w:t>
      </w:r>
    </w:p>
  </w:endnote>
  <w:endnote w:id="2">
    <w:p w:rsidR="00AF4DE9" w:rsidRDefault="00AF4DE9" w:rsidP="0009087E">
      <w:pPr>
        <w:pStyle w:val="EndnoteText"/>
      </w:pPr>
      <w:r>
        <w:rPr>
          <w:rStyle w:val="EndnoteReference"/>
        </w:rPr>
        <w:endnoteRef/>
      </w:r>
      <w:r w:rsidRPr="00F6731F">
        <w:t xml:space="preserve"> </w:t>
      </w:r>
      <w:proofErr w:type="gramStart"/>
      <w:r>
        <w:t xml:space="preserve">Place Profiles City of Whittlesea Profile and Precinct Summary Snapshots, </w:t>
      </w:r>
      <w:r w:rsidRPr="0009087E">
        <w:t>Version 2.1.</w:t>
      </w:r>
      <w:proofErr w:type="gramEnd"/>
      <w:r w:rsidRPr="0009087E">
        <w:t xml:space="preserve"> Published January 2016</w:t>
      </w:r>
    </w:p>
  </w:endnote>
  <w:endnote w:id="3">
    <w:p w:rsidR="00AF4DE9" w:rsidRDefault="00AF4DE9" w:rsidP="0009087E">
      <w:pPr>
        <w:pStyle w:val="EndnoteText"/>
      </w:pPr>
      <w:r>
        <w:rPr>
          <w:rStyle w:val="EndnoteReference"/>
        </w:rPr>
        <w:endnoteRef/>
      </w:r>
      <w:r>
        <w:t xml:space="preserve"> </w:t>
      </w:r>
      <w:r w:rsidRPr="00BA5A8C">
        <w:t>City of Whittlesea Reconciliation Action Plan 2014-2018</w:t>
      </w:r>
    </w:p>
  </w:endnote>
  <w:endnote w:id="4">
    <w:p w:rsidR="00AF4DE9" w:rsidRDefault="00AF4DE9">
      <w:pPr>
        <w:pStyle w:val="EndnoteText"/>
      </w:pPr>
      <w:r>
        <w:rPr>
          <w:rStyle w:val="EndnoteReference"/>
        </w:rPr>
        <w:endnoteRef/>
      </w:r>
      <w:r>
        <w:t xml:space="preserve"> As above</w:t>
      </w:r>
    </w:p>
  </w:endnote>
  <w:endnote w:id="5">
    <w:p w:rsidR="00AF4DE9" w:rsidRDefault="00AF4DE9" w:rsidP="006F66A4">
      <w:pPr>
        <w:pStyle w:val="EndnoteText"/>
      </w:pPr>
      <w:r>
        <w:rPr>
          <w:rStyle w:val="EndnoteReference"/>
        </w:rPr>
        <w:endnoteRef/>
      </w:r>
      <w:r>
        <w:t xml:space="preserve"> City of Whittlesea Multicultural Plan 2014-2018</w:t>
      </w:r>
    </w:p>
  </w:endnote>
  <w:endnote w:id="6">
    <w:p w:rsidR="00AF4DE9" w:rsidRDefault="00AF4DE9" w:rsidP="002D10CE">
      <w:pPr>
        <w:pStyle w:val="EndnoteText"/>
      </w:pPr>
      <w:r>
        <w:rPr>
          <w:rStyle w:val="EndnoteReference"/>
        </w:rPr>
        <w:endnoteRef/>
      </w:r>
      <w:r>
        <w:t xml:space="preserve"> </w:t>
      </w:r>
      <w:proofErr w:type="gramStart"/>
      <w:r>
        <w:t xml:space="preserve">Place Profiles City of Whittlesea Profile and Precinct Summary Snapshots, </w:t>
      </w:r>
      <w:r w:rsidRPr="0009087E">
        <w:t>Version 2.1.</w:t>
      </w:r>
      <w:proofErr w:type="gramEnd"/>
      <w:r w:rsidRPr="0009087E">
        <w:t xml:space="preserve"> Published January 2016</w:t>
      </w:r>
    </w:p>
  </w:endnote>
  <w:endnote w:id="7">
    <w:p w:rsidR="00AF4DE9" w:rsidRDefault="00AF4DE9" w:rsidP="00EB7A5E">
      <w:pPr>
        <w:pStyle w:val="EndnoteText"/>
      </w:pPr>
      <w:r>
        <w:rPr>
          <w:rStyle w:val="EndnoteReference"/>
        </w:rPr>
        <w:endnoteRef/>
      </w:r>
      <w:r>
        <w:t xml:space="preserve"> </w:t>
      </w:r>
      <w:r w:rsidRPr="004C47A4">
        <w:rPr>
          <w:bCs/>
          <w:iCs/>
        </w:rPr>
        <w:t>Forecast.id (2014), City of Whittlesea Population Forecasts,</w:t>
      </w:r>
      <w:r w:rsidRPr="00C01215">
        <w:rPr>
          <w:b/>
          <w:bCs/>
          <w:iCs/>
        </w:rPr>
        <w:t xml:space="preserve"> </w:t>
      </w:r>
      <w:r w:rsidRPr="00C01215">
        <w:rPr>
          <w:bCs/>
          <w:iCs/>
        </w:rPr>
        <w:t>http://forecast.id.com.au/whittlesea, accessed February 2014</w:t>
      </w:r>
    </w:p>
  </w:endnote>
  <w:endnote w:id="8">
    <w:p w:rsidR="00AF4DE9" w:rsidRPr="00CA709D" w:rsidRDefault="00AF4DE9" w:rsidP="00FC3531">
      <w:pPr>
        <w:pStyle w:val="EndnoteText"/>
      </w:pPr>
      <w:r>
        <w:rPr>
          <w:rStyle w:val="EndnoteReference"/>
        </w:rPr>
        <w:endnoteRef/>
      </w:r>
      <w:r>
        <w:t xml:space="preserve"> National Crime Prevention Framework, 2012, </w:t>
      </w:r>
      <w:r w:rsidRPr="00CA709D">
        <w:t>Prepared by the Australian Institute of Criminology</w:t>
      </w:r>
    </w:p>
    <w:p w:rsidR="00AF4DE9" w:rsidRDefault="00AF4DE9">
      <w:pPr>
        <w:pStyle w:val="EndnoteText"/>
      </w:pPr>
      <w:r w:rsidRPr="00CA709D">
        <w:t>on behalf of the Australian and New Zealand Crime</w:t>
      </w:r>
      <w:r>
        <w:t xml:space="preserve"> </w:t>
      </w:r>
      <w:r w:rsidRPr="00CA709D">
        <w:t>Prevention Senior Officers’ Group</w:t>
      </w:r>
      <w:r>
        <w:t xml:space="preserve"> </w:t>
      </w:r>
      <w:r w:rsidRPr="00CA709D">
        <w:t>http://www.aic.gov.au/media_library/aic/ncpf/ncp_framework.pdf</w:t>
      </w:r>
    </w:p>
  </w:endnote>
  <w:endnote w:id="9">
    <w:p w:rsidR="00AF4DE9" w:rsidRDefault="00AF4DE9" w:rsidP="00C96FD7">
      <w:pPr>
        <w:pStyle w:val="EndnoteText"/>
      </w:pPr>
      <w:r>
        <w:rPr>
          <w:rStyle w:val="EndnoteReference"/>
        </w:rPr>
        <w:endnoteRef/>
      </w:r>
      <w:r>
        <w:t xml:space="preserve"> Adapted from the United Nations Office on Drugs and Crime (2010) Handbook on the Crime Prevention Guidelines; Making them work. United Nations, New York. Cited in Community Crime Prevention Framework, Department of Justice, 2014, p. 8, </w:t>
      </w:r>
      <w:r w:rsidRPr="002D431E">
        <w:t>http://www.crimeprevention.vic.gov.au/home/resources/the+community+crime+prevention+framework</w:t>
      </w:r>
    </w:p>
  </w:endnote>
  <w:endnote w:id="10">
    <w:p w:rsidR="00AF4DE9" w:rsidRPr="00CA709D" w:rsidRDefault="00AF4DE9" w:rsidP="008F7133">
      <w:pPr>
        <w:pStyle w:val="EndnoteText"/>
      </w:pPr>
      <w:r>
        <w:rPr>
          <w:rStyle w:val="EndnoteReference"/>
        </w:rPr>
        <w:endnoteRef/>
      </w:r>
      <w:r>
        <w:t xml:space="preserve"> National Crime Prevention Framework, 2012, </w:t>
      </w:r>
      <w:r w:rsidRPr="00CA709D">
        <w:t>Prepared by the Australian Institute of Criminology</w:t>
      </w:r>
    </w:p>
    <w:p w:rsidR="00AF4DE9" w:rsidRDefault="00AF4DE9" w:rsidP="008F7133">
      <w:pPr>
        <w:pStyle w:val="EndnoteText"/>
      </w:pPr>
      <w:r w:rsidRPr="00CA709D">
        <w:t>on behalf of the Australian and New Zealand Crime</w:t>
      </w:r>
      <w:r>
        <w:t xml:space="preserve"> </w:t>
      </w:r>
      <w:r w:rsidRPr="00CA709D">
        <w:t>Prevention Senior Officers’ Group</w:t>
      </w:r>
      <w:r>
        <w:t xml:space="preserve"> </w:t>
      </w:r>
      <w:r w:rsidRPr="00CA709D">
        <w:t>http://www.aic.gov.au/media_library/aic/ncpf/ncp_framework.pdf</w:t>
      </w:r>
    </w:p>
  </w:endnote>
  <w:endnote w:id="11">
    <w:p w:rsidR="00AF4DE9" w:rsidRDefault="00AF4DE9" w:rsidP="00886F77">
      <w:pPr>
        <w:pStyle w:val="EndnoteText"/>
      </w:pPr>
      <w:r>
        <w:rPr>
          <w:rStyle w:val="EndnoteReference"/>
        </w:rPr>
        <w:endnoteRef/>
      </w:r>
      <w:r>
        <w:t xml:space="preserve"> VicHealth Safety Indicator Overview 2011</w:t>
      </w:r>
    </w:p>
  </w:endnote>
  <w:endnote w:id="12">
    <w:p w:rsidR="00AF4DE9" w:rsidRDefault="00AF4DE9" w:rsidP="00D56725">
      <w:pPr>
        <w:pStyle w:val="EndnoteText"/>
      </w:pPr>
      <w:r>
        <w:rPr>
          <w:rStyle w:val="EndnoteReference"/>
        </w:rPr>
        <w:endnoteRef/>
      </w:r>
      <w:r>
        <w:t xml:space="preserve"> City of Whittlesea Annual Household Survey 2015 </w:t>
      </w:r>
      <w:r w:rsidRPr="00416B16">
        <w:t>https://www.whittlesea.vic.gov.au/about-whittlesea/demographics-and-statistics/research-reports</w:t>
      </w:r>
    </w:p>
  </w:endnote>
  <w:endnote w:id="13">
    <w:p w:rsidR="00AF4DE9" w:rsidRDefault="00AF4DE9" w:rsidP="00D56725">
      <w:pPr>
        <w:pStyle w:val="EndnoteText"/>
      </w:pPr>
      <w:r>
        <w:rPr>
          <w:rStyle w:val="EndnoteReference"/>
        </w:rPr>
        <w:endnoteRef/>
      </w:r>
      <w:r>
        <w:t xml:space="preserve"> Community Indicators Victoria 2012 Whittlesea Wellbeing Report </w:t>
      </w:r>
      <w:r w:rsidRPr="008E65AF">
        <w:t>http://www.communityindicators.net.au/wellbeing_reports/whittlesea</w:t>
      </w:r>
    </w:p>
  </w:endnote>
  <w:endnote w:id="14">
    <w:p w:rsidR="00AF4DE9" w:rsidRDefault="00AF4DE9" w:rsidP="00860A06">
      <w:pPr>
        <w:pStyle w:val="EndnoteText"/>
      </w:pPr>
      <w:r>
        <w:rPr>
          <w:rStyle w:val="EndnoteReference"/>
        </w:rPr>
        <w:endnoteRef/>
      </w:r>
      <w:r>
        <w:t xml:space="preserve"> Building Respect: Whittlesea’s Anti-Racism Strategy 2015-2019, p. 4</w:t>
      </w:r>
    </w:p>
  </w:endnote>
  <w:endnote w:id="15">
    <w:p w:rsidR="00AF4DE9" w:rsidRDefault="00AF4DE9">
      <w:pPr>
        <w:pStyle w:val="EndnoteText"/>
      </w:pPr>
      <w:r>
        <w:rPr>
          <w:rStyle w:val="EndnoteReference"/>
        </w:rPr>
        <w:endnoteRef/>
      </w:r>
      <w:r>
        <w:t xml:space="preserve"> Australian Bureau of Statistics, Census of Population and Housing: Estimating Homelessness, 2012 Australian institute of Health and Welfare, Specialist Homelessness Services 2012-13, 2013 </w:t>
      </w:r>
    </w:p>
  </w:endnote>
  <w:endnote w:id="16">
    <w:p w:rsidR="00AF4DE9" w:rsidRDefault="00AF4DE9">
      <w:pPr>
        <w:pStyle w:val="EndnoteText"/>
      </w:pPr>
      <w:r>
        <w:rPr>
          <w:rStyle w:val="EndnoteReference"/>
        </w:rPr>
        <w:endnoteRef/>
      </w:r>
      <w:r>
        <w:t xml:space="preserve"> ibid</w:t>
      </w:r>
    </w:p>
  </w:endnote>
  <w:endnote w:id="17">
    <w:p w:rsidR="00AF4DE9" w:rsidRDefault="00AF4DE9">
      <w:pPr>
        <w:pStyle w:val="EndnoteText"/>
      </w:pPr>
      <w:r>
        <w:rPr>
          <w:rStyle w:val="EndnoteReference"/>
        </w:rPr>
        <w:endnoteRef/>
      </w:r>
      <w:r>
        <w:t xml:space="preserve"> </w:t>
      </w:r>
      <w:r w:rsidRPr="002C6E6B">
        <w:t xml:space="preserve">City of Whittlesea Human Services </w:t>
      </w:r>
      <w:r>
        <w:t>Needs Analysis 2013</w:t>
      </w:r>
    </w:p>
  </w:endnote>
  <w:endnote w:id="18">
    <w:p w:rsidR="00AF4DE9" w:rsidRPr="00CA709D" w:rsidRDefault="00AF4DE9" w:rsidP="00FC3531">
      <w:pPr>
        <w:pStyle w:val="EndnoteText"/>
      </w:pPr>
      <w:r>
        <w:rPr>
          <w:rStyle w:val="EndnoteReference"/>
        </w:rPr>
        <w:endnoteRef/>
      </w:r>
      <w:r>
        <w:t xml:space="preserve"> National Crime Prevention Framework, 2012, </w:t>
      </w:r>
      <w:r w:rsidRPr="00CA709D">
        <w:t>Prepared by the Australian Institute of Criminology</w:t>
      </w:r>
    </w:p>
    <w:p w:rsidR="00AF4DE9" w:rsidRDefault="00AF4DE9" w:rsidP="00FC3531">
      <w:pPr>
        <w:pStyle w:val="EndnoteText"/>
      </w:pPr>
      <w:r w:rsidRPr="00CA709D">
        <w:t>on behalf of the Australian and New Zealand Crime</w:t>
      </w:r>
      <w:r>
        <w:t xml:space="preserve"> </w:t>
      </w:r>
      <w:r w:rsidRPr="00CA709D">
        <w:t>Prevention Senior Officers’ Group</w:t>
      </w:r>
      <w:r>
        <w:t xml:space="preserve"> </w:t>
      </w:r>
      <w:r w:rsidRPr="00CA709D">
        <w:t>http://www.aic.gov.au/media_library/aic/ncpf/ncp_framework.pdf</w:t>
      </w:r>
    </w:p>
  </w:endnote>
  <w:endnote w:id="19">
    <w:p w:rsidR="00AF4DE9" w:rsidRDefault="00AF4DE9">
      <w:pPr>
        <w:pStyle w:val="EndnoteText"/>
      </w:pPr>
      <w:r>
        <w:rPr>
          <w:rStyle w:val="EndnoteReference"/>
        </w:rPr>
        <w:endnoteRef/>
      </w:r>
      <w:r>
        <w:t xml:space="preserve"> </w:t>
      </w:r>
      <w:r w:rsidRPr="00A84614">
        <w:t>Source:</w:t>
      </w:r>
      <w:r>
        <w:t xml:space="preserve"> </w:t>
      </w:r>
      <w:r w:rsidRPr="00A84614">
        <w:t>Derived by NIEIR using ABS Census, ABS Labour</w:t>
      </w:r>
      <w:r>
        <w:t xml:space="preserve"> </w:t>
      </w:r>
      <w:proofErr w:type="gramStart"/>
      <w:r w:rsidRPr="00A84614">
        <w:t>force</w:t>
      </w:r>
      <w:proofErr w:type="gramEnd"/>
      <w:r w:rsidRPr="00A84614">
        <w:t xml:space="preserve"> Survey, Australian Government Department of Employment Small Area Labour Market Statistics.</w:t>
      </w:r>
    </w:p>
  </w:endnote>
  <w:endnote w:id="20">
    <w:p w:rsidR="00AF4DE9" w:rsidRDefault="00AF4DE9">
      <w:pPr>
        <w:pStyle w:val="EndnoteText"/>
      </w:pPr>
      <w:r>
        <w:rPr>
          <w:rStyle w:val="EndnoteReference"/>
        </w:rPr>
        <w:endnoteRef/>
      </w:r>
      <w:r>
        <w:t xml:space="preserve"> ibid</w:t>
      </w:r>
    </w:p>
  </w:endnote>
  <w:endnote w:id="21">
    <w:p w:rsidR="00AF4DE9" w:rsidRDefault="00AF4DE9" w:rsidP="001409F2">
      <w:pPr>
        <w:pStyle w:val="EndnoteText"/>
      </w:pPr>
      <w:r>
        <w:rPr>
          <w:rStyle w:val="EndnoteReference"/>
        </w:rPr>
        <w:endnoteRef/>
      </w:r>
      <w:r>
        <w:t xml:space="preserve"> </w:t>
      </w:r>
      <w:r w:rsidRPr="0018483F">
        <w:t>Source: Australian Bureau of Statistics, Census of Population and Housing, 2011 (Enumerated data)</w:t>
      </w:r>
      <w:r w:rsidRPr="0018483F">
        <w:br/>
        <w:t>Compiled and presented in atlas.id by .id, the population experts.http://atlas.id.com.au/whittlesea#MapNo=10048&amp;SexKey=3&amp;datatype=1&amp;themtype=1&amp;topicAlias=disengaged-youth&amp;year=2011</w:t>
      </w:r>
    </w:p>
  </w:endnote>
  <w:endnote w:id="22">
    <w:p w:rsidR="00AF4DE9" w:rsidRDefault="00AF4DE9" w:rsidP="00FC3531">
      <w:pPr>
        <w:pStyle w:val="EndnoteText"/>
      </w:pPr>
      <w:r>
        <w:rPr>
          <w:rStyle w:val="EndnoteReference"/>
        </w:rPr>
        <w:endnoteRef/>
      </w:r>
      <w:r>
        <w:t xml:space="preserve"> Middle Years Development Instrument Australia – Community Data Whittlesea LGA October 2013 </w:t>
      </w:r>
    </w:p>
  </w:endnote>
  <w:endnote w:id="23">
    <w:p w:rsidR="00AF4DE9" w:rsidRDefault="00AF4DE9" w:rsidP="00C06AB3">
      <w:pPr>
        <w:pStyle w:val="EndnoteText"/>
      </w:pPr>
      <w:r>
        <w:rPr>
          <w:rStyle w:val="EndnoteReference"/>
        </w:rPr>
        <w:endnoteRef/>
      </w:r>
      <w:r>
        <w:t xml:space="preserve"> Australian Early Development Index Community Profile Whittlesea 2015 </w:t>
      </w:r>
      <w:r w:rsidRPr="00D92078">
        <w:t>https://www.aedc.gov.au/ClientData/CommunityProfiles/20075.pdf</w:t>
      </w:r>
    </w:p>
  </w:endnote>
  <w:endnote w:id="24">
    <w:p w:rsidR="00AF4DE9" w:rsidRDefault="00AF4DE9">
      <w:pPr>
        <w:pStyle w:val="EndnoteText"/>
      </w:pPr>
      <w:r>
        <w:rPr>
          <w:rStyle w:val="EndnoteReference"/>
        </w:rPr>
        <w:endnoteRef/>
      </w:r>
      <w:r>
        <w:t xml:space="preserve"> About the ADEC domains </w:t>
      </w:r>
      <w:r w:rsidRPr="006D1297">
        <w:t>https://www.aedc.gov.au/resources/detail/about-the-aedc-domains</w:t>
      </w:r>
    </w:p>
  </w:endnote>
  <w:endnote w:id="25">
    <w:p w:rsidR="00AF4DE9" w:rsidRDefault="00AF4DE9">
      <w:pPr>
        <w:pStyle w:val="EndnoteText"/>
      </w:pPr>
      <w:r>
        <w:rPr>
          <w:rStyle w:val="EndnoteReference"/>
        </w:rPr>
        <w:endnoteRef/>
      </w:r>
      <w:r>
        <w:t xml:space="preserve"> South Australian Department for Education and Child Development 2013 Middle Years Development Instrument Australia </w:t>
      </w:r>
      <w:r w:rsidRPr="00382C68">
        <w:t>https://decd-sa.govcms.gov.au/department/research-and-data/middle-years-development-instrument-mdi/about-middle-years-development</w:t>
      </w:r>
    </w:p>
  </w:endnote>
  <w:endnote w:id="26">
    <w:p w:rsidR="00AF4DE9" w:rsidRDefault="00AF4DE9" w:rsidP="00C06AB3">
      <w:pPr>
        <w:pStyle w:val="EndnoteText"/>
      </w:pPr>
      <w:r>
        <w:rPr>
          <w:rStyle w:val="EndnoteReference"/>
        </w:rPr>
        <w:endnoteRef/>
      </w:r>
      <w:r>
        <w:t xml:space="preserve"> Middle Years Development Instrument Australia – Community Data Whittlesea LGA October 2013</w:t>
      </w:r>
    </w:p>
  </w:endnote>
  <w:endnote w:id="27">
    <w:p w:rsidR="00AF4DE9" w:rsidRDefault="00AF4DE9">
      <w:pPr>
        <w:pStyle w:val="EndnoteText"/>
      </w:pPr>
      <w:r>
        <w:rPr>
          <w:rStyle w:val="EndnoteReference"/>
        </w:rPr>
        <w:endnoteRef/>
      </w:r>
      <w:r>
        <w:t xml:space="preserve"> Australian Bureau of Statistics SEIFA – Advantage and Disadvantage: The concepts </w:t>
      </w:r>
      <w:r w:rsidRPr="006111E8">
        <w:t>http://www.abs.gov.au/ausstats/abs@.nsf/Lookup/by%20Subject/2033.0.55.001~2011~Main%20Features~Advantage%20&amp;%20Disadvantage:%20The%20Concepts~10000</w:t>
      </w:r>
    </w:p>
  </w:endnote>
  <w:endnote w:id="28">
    <w:p w:rsidR="00AF4DE9" w:rsidRDefault="00AF4DE9" w:rsidP="00A825D4">
      <w:pPr>
        <w:pStyle w:val="EndnoteText"/>
      </w:pPr>
      <w:r w:rsidRPr="00151D6F">
        <w:rPr>
          <w:rStyle w:val="EndnoteReference"/>
        </w:rPr>
        <w:endnoteRef/>
      </w:r>
      <w:r w:rsidRPr="00151D6F">
        <w:t xml:space="preserve"> Australian Bureau of Statistics, 2013, 2033.0.55.001 Census of Population and Housing: Socio-</w:t>
      </w:r>
      <w:r w:rsidRPr="00C01215">
        <w:t>economic Indexes for Areas (SEIFA), Australia 2011, Canberra: ABS</w:t>
      </w:r>
    </w:p>
  </w:endnote>
  <w:endnote w:id="29">
    <w:p w:rsidR="00AF4DE9" w:rsidRDefault="00AF4DE9" w:rsidP="00182AD9">
      <w:pPr>
        <w:pStyle w:val="EndnoteText"/>
      </w:pPr>
      <w:r>
        <w:rPr>
          <w:rStyle w:val="EndnoteReference"/>
        </w:rPr>
        <w:endnoteRef/>
      </w:r>
      <w:r>
        <w:t xml:space="preserve"> </w:t>
      </w:r>
      <w:r w:rsidRPr="00312F74">
        <w:t>Department of Justice Infringement Management</w:t>
      </w:r>
      <w:r>
        <w:t xml:space="preserve"> and Enforcement Services (IMES) Data 2010/11</w:t>
      </w:r>
    </w:p>
  </w:endnote>
  <w:endnote w:id="30">
    <w:p w:rsidR="00AF4DE9" w:rsidRDefault="00AF4DE9" w:rsidP="001E2C2B">
      <w:pPr>
        <w:pStyle w:val="EndnoteText"/>
      </w:pPr>
      <w:r>
        <w:rPr>
          <w:rStyle w:val="EndnoteReference"/>
        </w:rPr>
        <w:endnoteRef/>
      </w:r>
      <w:r>
        <w:t xml:space="preserve"> </w:t>
      </w:r>
      <w:r w:rsidRPr="00D56725">
        <w:t>Victorian Responsible Gambling Foundation (VRGF)</w:t>
      </w:r>
    </w:p>
  </w:endnote>
  <w:endnote w:id="31">
    <w:p w:rsidR="00AF4DE9" w:rsidRDefault="00AF4DE9" w:rsidP="00082FC1">
      <w:pPr>
        <w:pStyle w:val="EndnoteText"/>
      </w:pPr>
      <w:r>
        <w:rPr>
          <w:rStyle w:val="EndnoteReference"/>
        </w:rPr>
        <w:endnoteRef/>
      </w:r>
      <w:r>
        <w:t xml:space="preserve"> </w:t>
      </w:r>
      <w:r>
        <w:rPr>
          <w:bCs/>
          <w:iCs/>
        </w:rPr>
        <w:t xml:space="preserve">City of Whittlesea Annual Household Survey 2015 </w:t>
      </w:r>
      <w:r w:rsidRPr="00416B16">
        <w:t>https://www.whittlesea.vic.gov.au/about-whittlesea/demographics-and-statistics/research-reports</w:t>
      </w:r>
    </w:p>
  </w:endnote>
  <w:endnote w:id="32">
    <w:p w:rsidR="00AF4DE9" w:rsidRDefault="00AF4DE9" w:rsidP="00082FC1">
      <w:pPr>
        <w:pStyle w:val="EndnoteText"/>
      </w:pPr>
      <w:r>
        <w:rPr>
          <w:rStyle w:val="EndnoteReference"/>
        </w:rPr>
        <w:endnoteRef/>
      </w:r>
      <w:r>
        <w:t xml:space="preserve"> Atlas </w:t>
      </w:r>
      <w:proofErr w:type="spellStart"/>
      <w:r>
        <w:t>i.d</w:t>
      </w:r>
      <w:proofErr w:type="spellEnd"/>
      <w:r>
        <w:t xml:space="preserve"> Social Atlas, City of Whittlesea: Housing Stress, 2011, </w:t>
      </w:r>
      <w:r w:rsidRPr="001D0386">
        <w:t>http://atlas.id.com.au/whittlesea#MapNo=10215&amp;SexKey=4&amp;datatype=1&amp;themtype=1&amp;topicAlias=housing-stress&amp;year=2011</w:t>
      </w:r>
      <w:r>
        <w:t>, accessed 29.01.14</w:t>
      </w:r>
    </w:p>
  </w:endnote>
  <w:endnote w:id="33">
    <w:p w:rsidR="00AF4DE9" w:rsidRDefault="00AF4DE9" w:rsidP="00BA5F2A">
      <w:pPr>
        <w:pStyle w:val="EndnoteText"/>
      </w:pPr>
      <w:r>
        <w:rPr>
          <w:rStyle w:val="EndnoteReference"/>
        </w:rPr>
        <w:endnoteRef/>
      </w:r>
      <w:r>
        <w:t xml:space="preserve"> Victoria Police Assistant Commissioner Luke Cornelius presentation to Local Government Alcohol and Other Drugs Forum (LGAODF) 2014</w:t>
      </w:r>
    </w:p>
  </w:endnote>
  <w:endnote w:id="34">
    <w:p w:rsidR="00AF4DE9" w:rsidRDefault="00AF4DE9" w:rsidP="000C67DD">
      <w:pPr>
        <w:pStyle w:val="EndnoteText"/>
      </w:pPr>
      <w:r>
        <w:rPr>
          <w:rStyle w:val="EndnoteReference"/>
        </w:rPr>
        <w:endnoteRef/>
      </w:r>
      <w:r>
        <w:t xml:space="preserve"> </w:t>
      </w:r>
      <w:r>
        <w:rPr>
          <w:bCs/>
          <w:iCs/>
        </w:rPr>
        <w:t>ibid</w:t>
      </w:r>
    </w:p>
  </w:endnote>
  <w:endnote w:id="35">
    <w:p w:rsidR="00AF4DE9" w:rsidRDefault="00AF4DE9" w:rsidP="000C67DD">
      <w:pPr>
        <w:pStyle w:val="EndnoteText"/>
      </w:pPr>
      <w:r>
        <w:rPr>
          <w:rStyle w:val="EndnoteReference"/>
        </w:rPr>
        <w:endnoteRef/>
      </w:r>
      <w:r>
        <w:t xml:space="preserve"> Turning Point AOD Stats Alcohol Family Violence, </w:t>
      </w:r>
      <w:r w:rsidRPr="001F082E">
        <w:t>http://aodstats.org.au/VicLGA/</w:t>
      </w:r>
      <w:r>
        <w:t xml:space="preserve"> accessed 16.01.2015</w:t>
      </w:r>
    </w:p>
  </w:endnote>
  <w:endnote w:id="36">
    <w:p w:rsidR="00AF4DE9" w:rsidRDefault="00AF4DE9" w:rsidP="00FC39E1">
      <w:pPr>
        <w:pStyle w:val="EndnoteText"/>
      </w:pPr>
      <w:r>
        <w:rPr>
          <w:rStyle w:val="EndnoteReference"/>
        </w:rPr>
        <w:endnoteRef/>
      </w:r>
      <w:r>
        <w:t xml:space="preserve"> Crime Statistics Agency Victoria, March 2015 to April 2016, </w:t>
      </w:r>
      <w:r w:rsidRPr="00412BDA">
        <w:t>http://www.crimestatistics.vic.gov.au/home/crime+by+location/</w:t>
      </w:r>
    </w:p>
  </w:endnote>
  <w:endnote w:id="37">
    <w:p w:rsidR="00AF4DE9" w:rsidRDefault="00AF4DE9" w:rsidP="00954573">
      <w:pPr>
        <w:pStyle w:val="EndnoteText"/>
      </w:pPr>
      <w:r>
        <w:rPr>
          <w:rStyle w:val="EndnoteReference"/>
        </w:rPr>
        <w:endnoteRef/>
      </w:r>
      <w:r>
        <w:t xml:space="preserve"> Source: City of Whittlesea Local Area Community Safety Plan 2012, </w:t>
      </w:r>
      <w:r w:rsidRPr="00936F67">
        <w:rPr>
          <w:rFonts w:cs="Calibri"/>
        </w:rPr>
        <w:t>D</w:t>
      </w:r>
      <w:r>
        <w:rPr>
          <w:rFonts w:cs="Calibri"/>
        </w:rPr>
        <w:t>epartment of Justice Corrections D</w:t>
      </w:r>
      <w:r w:rsidRPr="00936F67">
        <w:rPr>
          <w:rFonts w:cs="Calibri"/>
        </w:rPr>
        <w:t>ata 20</w:t>
      </w:r>
      <w:r>
        <w:rPr>
          <w:rFonts w:cs="Calibri"/>
        </w:rPr>
        <w:t>10/</w:t>
      </w:r>
      <w:r w:rsidRPr="00936F67">
        <w:rPr>
          <w:rFonts w:cs="Calibri"/>
        </w:rPr>
        <w:t>11</w:t>
      </w:r>
    </w:p>
  </w:endnote>
  <w:endnote w:id="38">
    <w:p w:rsidR="00AF4DE9" w:rsidRDefault="00AF4DE9" w:rsidP="00DE0758">
      <w:pPr>
        <w:pStyle w:val="EndnoteText"/>
      </w:pPr>
      <w:r>
        <w:rPr>
          <w:rStyle w:val="EndnoteReference"/>
        </w:rPr>
        <w:endnoteRef/>
      </w:r>
      <w:r>
        <w:t xml:space="preserve"> Crime Statistics Agency Victoria ‘Recorded Offences’ </w:t>
      </w:r>
      <w:r w:rsidRPr="00EC7017">
        <w:t>http://www.crimestatistics.vic.gov.au/home/crime+statistics/year+ending+31+december+2015/recorded+offences</w:t>
      </w:r>
    </w:p>
  </w:endnote>
  <w:endnote w:id="39">
    <w:p w:rsidR="00AF4DE9" w:rsidRDefault="00AF4DE9">
      <w:pPr>
        <w:pStyle w:val="EndnoteText"/>
      </w:pPr>
      <w:r>
        <w:rPr>
          <w:rStyle w:val="EndnoteReference"/>
        </w:rPr>
        <w:endnoteRef/>
      </w:r>
      <w:r>
        <w:t xml:space="preserve"> ibid</w:t>
      </w:r>
    </w:p>
  </w:endnote>
  <w:endnote w:id="40">
    <w:p w:rsidR="00AF4DE9" w:rsidRDefault="00AF4DE9" w:rsidP="00ED7D96">
      <w:pPr>
        <w:pStyle w:val="EndnoteText"/>
      </w:pPr>
      <w:r>
        <w:rPr>
          <w:rStyle w:val="EndnoteReference"/>
        </w:rPr>
        <w:endnoteRef/>
      </w:r>
      <w:r>
        <w:t xml:space="preserve"> Crime Statistics Agency Victoria Alleged Offender Rate per 100,000 population by region and local government area, April 2011 to March 2016, </w:t>
      </w:r>
      <w:r w:rsidRPr="004E5848">
        <w:t>http://www.crimestatistics.vic.gov.au/home/crime+statistics/year+ending+31+march+2016/download+data</w:t>
      </w:r>
    </w:p>
  </w:endnote>
  <w:endnote w:id="41">
    <w:p w:rsidR="00AF4DE9" w:rsidRDefault="00AF4DE9" w:rsidP="00ED7D96">
      <w:pPr>
        <w:pStyle w:val="EndnoteText"/>
      </w:pPr>
      <w:r>
        <w:rPr>
          <w:rStyle w:val="EndnoteReference"/>
        </w:rPr>
        <w:endnoteRef/>
      </w:r>
      <w:r>
        <w:t xml:space="preserve"> Violence Against Women: Information and Facts 2014-2015, Women’s Health In the North, 2015, </w:t>
      </w:r>
      <w:r w:rsidRPr="0094469F">
        <w:t>http://www.whin.org.au/images/PDFs/FViolence/FVFactsheets2014to2015/FV%20Factsheet%2015%20-%20Whittlesea.pdf</w:t>
      </w:r>
    </w:p>
  </w:endnote>
  <w:endnote w:id="42">
    <w:p w:rsidR="00AF4DE9" w:rsidRDefault="00AF4DE9">
      <w:pPr>
        <w:pStyle w:val="EndnoteText"/>
      </w:pPr>
      <w:r>
        <w:rPr>
          <w:rStyle w:val="EndnoteReference"/>
        </w:rPr>
        <w:endnoteRef/>
      </w:r>
      <w:r>
        <w:t xml:space="preserve"> Crime Statistics Agency Victoria 2016, Steal from a motor vehicle offence rate per 100,000 population recorded in North West Metro region by LGA (data requested by City of Whittlesea)</w:t>
      </w:r>
    </w:p>
  </w:endnote>
  <w:endnote w:id="43">
    <w:p w:rsidR="00AF4DE9" w:rsidRDefault="00AF4DE9" w:rsidP="005301BC">
      <w:pPr>
        <w:pStyle w:val="EndnoteText"/>
      </w:pPr>
      <w:r>
        <w:rPr>
          <w:rStyle w:val="EndnoteReference"/>
        </w:rPr>
        <w:endnoteRef/>
      </w:r>
      <w:r>
        <w:t xml:space="preserve"> Crime Statistics Agency Victoria Residential Burglary Offence Rate April 2014 to March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19" w:rsidRDefault="00674B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309243"/>
      <w:docPartObj>
        <w:docPartGallery w:val="Page Numbers (Bottom of Page)"/>
        <w:docPartUnique/>
      </w:docPartObj>
    </w:sdtPr>
    <w:sdtEndPr>
      <w:rPr>
        <w:noProof/>
      </w:rPr>
    </w:sdtEndPr>
    <w:sdtContent>
      <w:p w:rsidR="00AF4DE9" w:rsidRDefault="00AF4DE9">
        <w:pPr>
          <w:pStyle w:val="Footer"/>
          <w:jc w:val="right"/>
        </w:pPr>
        <w:r>
          <w:fldChar w:fldCharType="begin"/>
        </w:r>
        <w:r>
          <w:instrText xml:space="preserve"> PAGE   \* MERGEFORMAT </w:instrText>
        </w:r>
        <w:r>
          <w:fldChar w:fldCharType="separate"/>
        </w:r>
        <w:r w:rsidR="00780611">
          <w:rPr>
            <w:noProof/>
          </w:rPr>
          <w:t>31</w:t>
        </w:r>
        <w:r>
          <w:rPr>
            <w:noProof/>
          </w:rPr>
          <w:fldChar w:fldCharType="end"/>
        </w:r>
      </w:p>
    </w:sdtContent>
  </w:sdt>
  <w:p w:rsidR="00AF4DE9" w:rsidRDefault="00AF4D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19" w:rsidRDefault="00674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DE9" w:rsidRDefault="00AF4DE9" w:rsidP="00705DAD">
      <w:r>
        <w:separator/>
      </w:r>
    </w:p>
  </w:footnote>
  <w:footnote w:type="continuationSeparator" w:id="0">
    <w:p w:rsidR="00AF4DE9" w:rsidRDefault="00AF4DE9" w:rsidP="00705DAD">
      <w:r>
        <w:continuationSeparator/>
      </w:r>
    </w:p>
  </w:footnote>
  <w:footnote w:id="1">
    <w:p w:rsidR="00AF4DE9" w:rsidRDefault="00AF4DE9" w:rsidP="00330FB2">
      <w:pPr>
        <w:pStyle w:val="FootnoteText"/>
      </w:pPr>
      <w:r>
        <w:rPr>
          <w:rStyle w:val="FootnoteReference"/>
        </w:rPr>
        <w:footnoteRef/>
      </w:r>
      <w:r>
        <w:t xml:space="preserve"> Warrants relating to Victorian Police issued (Type 1A, 1B and 1C), local government authority issued (Type 2) infringements and criminal and civil court (Type 3A and 3B) infringements.</w:t>
      </w:r>
    </w:p>
  </w:footnote>
  <w:footnote w:id="2">
    <w:p w:rsidR="00AF4DE9" w:rsidRDefault="00AF4DE9" w:rsidP="00330FB2">
      <w:pPr>
        <w:pStyle w:val="FootnoteText"/>
      </w:pPr>
      <w:r>
        <w:rPr>
          <w:rStyle w:val="FootnoteReference"/>
        </w:rPr>
        <w:footnoteRef/>
      </w:r>
      <w:r>
        <w:t xml:space="preserve"> Victorian Police issued (Type 1A, 1B and 1C) infringements</w:t>
      </w:r>
    </w:p>
  </w:footnote>
  <w:footnote w:id="3">
    <w:p w:rsidR="00AF4DE9" w:rsidRDefault="00AF4DE9">
      <w:pPr>
        <w:pStyle w:val="FootnoteText"/>
      </w:pPr>
      <w:r>
        <w:rPr>
          <w:rStyle w:val="FootnoteReference"/>
        </w:rPr>
        <w:footnoteRef/>
      </w:r>
      <w:r>
        <w:t xml:space="preserve"> Municipalities of Banyule, Darebin, Hume, Moreland, Nillumbik, Whittlesea and Yarra</w:t>
      </w:r>
    </w:p>
  </w:footnote>
  <w:footnote w:id="4">
    <w:p w:rsidR="00AF4DE9" w:rsidRDefault="00AF4DE9">
      <w:pPr>
        <w:pStyle w:val="FootnoteText"/>
      </w:pPr>
      <w:r>
        <w:rPr>
          <w:rStyle w:val="FootnoteReference"/>
        </w:rPr>
        <w:footnoteRef/>
      </w:r>
      <w:r>
        <w:t xml:space="preserve"> Municipalities of Banyule, </w:t>
      </w:r>
      <w:proofErr w:type="spellStart"/>
      <w:r>
        <w:t>Brimbank</w:t>
      </w:r>
      <w:proofErr w:type="spellEnd"/>
      <w:r>
        <w:t>, Darebin, Hobson’s Bay, Hume, Maribyrnong, Melbourne, Melton, Moonee Valley, Moreland, Nillumbik, Whittlesea, Wyndham and Yarra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19" w:rsidRDefault="00674B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B19" w:rsidRDefault="00674B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E9" w:rsidRDefault="00AF4DE9">
    <w:pPr>
      <w:pStyle w:val="Header"/>
    </w:pPr>
    <w:r>
      <w:rPr>
        <w:noProof/>
      </w:rPr>
      <w:drawing>
        <wp:anchor distT="0" distB="0" distL="114300" distR="114300" simplePos="0" relativeHeight="251659264" behindDoc="1" locked="1" layoutInCell="1" allowOverlap="1" wp14:anchorId="111FFB98" wp14:editId="1303A115">
          <wp:simplePos x="0" y="0"/>
          <wp:positionH relativeFrom="page">
            <wp:posOffset>-158750</wp:posOffset>
          </wp:positionH>
          <wp:positionV relativeFrom="page">
            <wp:posOffset>-248920</wp:posOffset>
          </wp:positionV>
          <wp:extent cx="8052435" cy="2386330"/>
          <wp:effectExtent l="0" t="0" r="5715" b="0"/>
          <wp:wrapNone/>
          <wp:docPr id="2" name="Picture 34" desc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2435" cy="2386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5A3"/>
    <w:multiLevelType w:val="hybridMultilevel"/>
    <w:tmpl w:val="405C89F0"/>
    <w:lvl w:ilvl="0" w:tplc="4790B904">
      <w:start w:val="1"/>
      <w:numFmt w:val="bullet"/>
      <w:lvlText w:val="•"/>
      <w:lvlJc w:val="left"/>
      <w:pPr>
        <w:tabs>
          <w:tab w:val="num" w:pos="720"/>
        </w:tabs>
        <w:ind w:left="720" w:hanging="360"/>
      </w:pPr>
      <w:rPr>
        <w:rFonts w:ascii="Times New Roman" w:hAnsi="Times New Roman" w:hint="default"/>
      </w:rPr>
    </w:lvl>
    <w:lvl w:ilvl="1" w:tplc="7D3AA95A" w:tentative="1">
      <w:start w:val="1"/>
      <w:numFmt w:val="bullet"/>
      <w:lvlText w:val="•"/>
      <w:lvlJc w:val="left"/>
      <w:pPr>
        <w:tabs>
          <w:tab w:val="num" w:pos="1440"/>
        </w:tabs>
        <w:ind w:left="1440" w:hanging="360"/>
      </w:pPr>
      <w:rPr>
        <w:rFonts w:ascii="Times New Roman" w:hAnsi="Times New Roman" w:hint="default"/>
      </w:rPr>
    </w:lvl>
    <w:lvl w:ilvl="2" w:tplc="9512513A" w:tentative="1">
      <w:start w:val="1"/>
      <w:numFmt w:val="bullet"/>
      <w:lvlText w:val="•"/>
      <w:lvlJc w:val="left"/>
      <w:pPr>
        <w:tabs>
          <w:tab w:val="num" w:pos="2160"/>
        </w:tabs>
        <w:ind w:left="2160" w:hanging="360"/>
      </w:pPr>
      <w:rPr>
        <w:rFonts w:ascii="Times New Roman" w:hAnsi="Times New Roman" w:hint="default"/>
      </w:rPr>
    </w:lvl>
    <w:lvl w:ilvl="3" w:tplc="ADBCA8F0" w:tentative="1">
      <w:start w:val="1"/>
      <w:numFmt w:val="bullet"/>
      <w:lvlText w:val="•"/>
      <w:lvlJc w:val="left"/>
      <w:pPr>
        <w:tabs>
          <w:tab w:val="num" w:pos="2880"/>
        </w:tabs>
        <w:ind w:left="2880" w:hanging="360"/>
      </w:pPr>
      <w:rPr>
        <w:rFonts w:ascii="Times New Roman" w:hAnsi="Times New Roman" w:hint="default"/>
      </w:rPr>
    </w:lvl>
    <w:lvl w:ilvl="4" w:tplc="AF2259A0" w:tentative="1">
      <w:start w:val="1"/>
      <w:numFmt w:val="bullet"/>
      <w:lvlText w:val="•"/>
      <w:lvlJc w:val="left"/>
      <w:pPr>
        <w:tabs>
          <w:tab w:val="num" w:pos="3600"/>
        </w:tabs>
        <w:ind w:left="3600" w:hanging="360"/>
      </w:pPr>
      <w:rPr>
        <w:rFonts w:ascii="Times New Roman" w:hAnsi="Times New Roman" w:hint="default"/>
      </w:rPr>
    </w:lvl>
    <w:lvl w:ilvl="5" w:tplc="E7EAB8F4" w:tentative="1">
      <w:start w:val="1"/>
      <w:numFmt w:val="bullet"/>
      <w:lvlText w:val="•"/>
      <w:lvlJc w:val="left"/>
      <w:pPr>
        <w:tabs>
          <w:tab w:val="num" w:pos="4320"/>
        </w:tabs>
        <w:ind w:left="4320" w:hanging="360"/>
      </w:pPr>
      <w:rPr>
        <w:rFonts w:ascii="Times New Roman" w:hAnsi="Times New Roman" w:hint="default"/>
      </w:rPr>
    </w:lvl>
    <w:lvl w:ilvl="6" w:tplc="16286260" w:tentative="1">
      <w:start w:val="1"/>
      <w:numFmt w:val="bullet"/>
      <w:lvlText w:val="•"/>
      <w:lvlJc w:val="left"/>
      <w:pPr>
        <w:tabs>
          <w:tab w:val="num" w:pos="5040"/>
        </w:tabs>
        <w:ind w:left="5040" w:hanging="360"/>
      </w:pPr>
      <w:rPr>
        <w:rFonts w:ascii="Times New Roman" w:hAnsi="Times New Roman" w:hint="default"/>
      </w:rPr>
    </w:lvl>
    <w:lvl w:ilvl="7" w:tplc="8F10E3FA" w:tentative="1">
      <w:start w:val="1"/>
      <w:numFmt w:val="bullet"/>
      <w:lvlText w:val="•"/>
      <w:lvlJc w:val="left"/>
      <w:pPr>
        <w:tabs>
          <w:tab w:val="num" w:pos="5760"/>
        </w:tabs>
        <w:ind w:left="5760" w:hanging="360"/>
      </w:pPr>
      <w:rPr>
        <w:rFonts w:ascii="Times New Roman" w:hAnsi="Times New Roman" w:hint="default"/>
      </w:rPr>
    </w:lvl>
    <w:lvl w:ilvl="8" w:tplc="A1EC5EC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CAE6B99"/>
    <w:multiLevelType w:val="hybridMultilevel"/>
    <w:tmpl w:val="52FAB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A9445C"/>
    <w:multiLevelType w:val="hybridMultilevel"/>
    <w:tmpl w:val="76A2A910"/>
    <w:lvl w:ilvl="0" w:tplc="557E1C16">
      <w:start w:val="1"/>
      <w:numFmt w:val="bullet"/>
      <w:lvlText w:val="•"/>
      <w:lvlJc w:val="left"/>
      <w:pPr>
        <w:tabs>
          <w:tab w:val="num" w:pos="720"/>
        </w:tabs>
        <w:ind w:left="720" w:hanging="360"/>
      </w:pPr>
      <w:rPr>
        <w:rFonts w:ascii="Times New Roman" w:hAnsi="Times New Roman" w:hint="default"/>
      </w:rPr>
    </w:lvl>
    <w:lvl w:ilvl="1" w:tplc="003683C6" w:tentative="1">
      <w:start w:val="1"/>
      <w:numFmt w:val="bullet"/>
      <w:lvlText w:val="•"/>
      <w:lvlJc w:val="left"/>
      <w:pPr>
        <w:tabs>
          <w:tab w:val="num" w:pos="1440"/>
        </w:tabs>
        <w:ind w:left="1440" w:hanging="360"/>
      </w:pPr>
      <w:rPr>
        <w:rFonts w:ascii="Times New Roman" w:hAnsi="Times New Roman" w:hint="default"/>
      </w:rPr>
    </w:lvl>
    <w:lvl w:ilvl="2" w:tplc="CC44E8BE" w:tentative="1">
      <w:start w:val="1"/>
      <w:numFmt w:val="bullet"/>
      <w:lvlText w:val="•"/>
      <w:lvlJc w:val="left"/>
      <w:pPr>
        <w:tabs>
          <w:tab w:val="num" w:pos="2160"/>
        </w:tabs>
        <w:ind w:left="2160" w:hanging="360"/>
      </w:pPr>
      <w:rPr>
        <w:rFonts w:ascii="Times New Roman" w:hAnsi="Times New Roman" w:hint="default"/>
      </w:rPr>
    </w:lvl>
    <w:lvl w:ilvl="3" w:tplc="439882CA" w:tentative="1">
      <w:start w:val="1"/>
      <w:numFmt w:val="bullet"/>
      <w:lvlText w:val="•"/>
      <w:lvlJc w:val="left"/>
      <w:pPr>
        <w:tabs>
          <w:tab w:val="num" w:pos="2880"/>
        </w:tabs>
        <w:ind w:left="2880" w:hanging="360"/>
      </w:pPr>
      <w:rPr>
        <w:rFonts w:ascii="Times New Roman" w:hAnsi="Times New Roman" w:hint="default"/>
      </w:rPr>
    </w:lvl>
    <w:lvl w:ilvl="4" w:tplc="E75EABE4" w:tentative="1">
      <w:start w:val="1"/>
      <w:numFmt w:val="bullet"/>
      <w:lvlText w:val="•"/>
      <w:lvlJc w:val="left"/>
      <w:pPr>
        <w:tabs>
          <w:tab w:val="num" w:pos="3600"/>
        </w:tabs>
        <w:ind w:left="3600" w:hanging="360"/>
      </w:pPr>
      <w:rPr>
        <w:rFonts w:ascii="Times New Roman" w:hAnsi="Times New Roman" w:hint="default"/>
      </w:rPr>
    </w:lvl>
    <w:lvl w:ilvl="5" w:tplc="EA16D9A0" w:tentative="1">
      <w:start w:val="1"/>
      <w:numFmt w:val="bullet"/>
      <w:lvlText w:val="•"/>
      <w:lvlJc w:val="left"/>
      <w:pPr>
        <w:tabs>
          <w:tab w:val="num" w:pos="4320"/>
        </w:tabs>
        <w:ind w:left="4320" w:hanging="360"/>
      </w:pPr>
      <w:rPr>
        <w:rFonts w:ascii="Times New Roman" w:hAnsi="Times New Roman" w:hint="default"/>
      </w:rPr>
    </w:lvl>
    <w:lvl w:ilvl="6" w:tplc="6DE454F6" w:tentative="1">
      <w:start w:val="1"/>
      <w:numFmt w:val="bullet"/>
      <w:lvlText w:val="•"/>
      <w:lvlJc w:val="left"/>
      <w:pPr>
        <w:tabs>
          <w:tab w:val="num" w:pos="5040"/>
        </w:tabs>
        <w:ind w:left="5040" w:hanging="360"/>
      </w:pPr>
      <w:rPr>
        <w:rFonts w:ascii="Times New Roman" w:hAnsi="Times New Roman" w:hint="default"/>
      </w:rPr>
    </w:lvl>
    <w:lvl w:ilvl="7" w:tplc="C9CC14CE" w:tentative="1">
      <w:start w:val="1"/>
      <w:numFmt w:val="bullet"/>
      <w:lvlText w:val="•"/>
      <w:lvlJc w:val="left"/>
      <w:pPr>
        <w:tabs>
          <w:tab w:val="num" w:pos="5760"/>
        </w:tabs>
        <w:ind w:left="5760" w:hanging="360"/>
      </w:pPr>
      <w:rPr>
        <w:rFonts w:ascii="Times New Roman" w:hAnsi="Times New Roman" w:hint="default"/>
      </w:rPr>
    </w:lvl>
    <w:lvl w:ilvl="8" w:tplc="807A5AA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5F702C"/>
    <w:multiLevelType w:val="hybridMultilevel"/>
    <w:tmpl w:val="144E5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0710B7"/>
    <w:multiLevelType w:val="hybridMultilevel"/>
    <w:tmpl w:val="EC228B6E"/>
    <w:lvl w:ilvl="0" w:tplc="99167276">
      <w:start w:val="1"/>
      <w:numFmt w:val="bullet"/>
      <w:lvlText w:val="•"/>
      <w:lvlJc w:val="left"/>
      <w:pPr>
        <w:tabs>
          <w:tab w:val="num" w:pos="720"/>
        </w:tabs>
        <w:ind w:left="720" w:hanging="360"/>
      </w:pPr>
      <w:rPr>
        <w:rFonts w:ascii="Times New Roman" w:hAnsi="Times New Roman" w:hint="default"/>
      </w:rPr>
    </w:lvl>
    <w:lvl w:ilvl="1" w:tplc="BCA8E90E" w:tentative="1">
      <w:start w:val="1"/>
      <w:numFmt w:val="bullet"/>
      <w:lvlText w:val="•"/>
      <w:lvlJc w:val="left"/>
      <w:pPr>
        <w:tabs>
          <w:tab w:val="num" w:pos="1440"/>
        </w:tabs>
        <w:ind w:left="1440" w:hanging="360"/>
      </w:pPr>
      <w:rPr>
        <w:rFonts w:ascii="Times New Roman" w:hAnsi="Times New Roman" w:hint="default"/>
      </w:rPr>
    </w:lvl>
    <w:lvl w:ilvl="2" w:tplc="6DD2A528" w:tentative="1">
      <w:start w:val="1"/>
      <w:numFmt w:val="bullet"/>
      <w:lvlText w:val="•"/>
      <w:lvlJc w:val="left"/>
      <w:pPr>
        <w:tabs>
          <w:tab w:val="num" w:pos="2160"/>
        </w:tabs>
        <w:ind w:left="2160" w:hanging="360"/>
      </w:pPr>
      <w:rPr>
        <w:rFonts w:ascii="Times New Roman" w:hAnsi="Times New Roman" w:hint="default"/>
      </w:rPr>
    </w:lvl>
    <w:lvl w:ilvl="3" w:tplc="9760CCD6" w:tentative="1">
      <w:start w:val="1"/>
      <w:numFmt w:val="bullet"/>
      <w:lvlText w:val="•"/>
      <w:lvlJc w:val="left"/>
      <w:pPr>
        <w:tabs>
          <w:tab w:val="num" w:pos="2880"/>
        </w:tabs>
        <w:ind w:left="2880" w:hanging="360"/>
      </w:pPr>
      <w:rPr>
        <w:rFonts w:ascii="Times New Roman" w:hAnsi="Times New Roman" w:hint="default"/>
      </w:rPr>
    </w:lvl>
    <w:lvl w:ilvl="4" w:tplc="AE7E848E" w:tentative="1">
      <w:start w:val="1"/>
      <w:numFmt w:val="bullet"/>
      <w:lvlText w:val="•"/>
      <w:lvlJc w:val="left"/>
      <w:pPr>
        <w:tabs>
          <w:tab w:val="num" w:pos="3600"/>
        </w:tabs>
        <w:ind w:left="3600" w:hanging="360"/>
      </w:pPr>
      <w:rPr>
        <w:rFonts w:ascii="Times New Roman" w:hAnsi="Times New Roman" w:hint="default"/>
      </w:rPr>
    </w:lvl>
    <w:lvl w:ilvl="5" w:tplc="DAFA2BE0" w:tentative="1">
      <w:start w:val="1"/>
      <w:numFmt w:val="bullet"/>
      <w:lvlText w:val="•"/>
      <w:lvlJc w:val="left"/>
      <w:pPr>
        <w:tabs>
          <w:tab w:val="num" w:pos="4320"/>
        </w:tabs>
        <w:ind w:left="4320" w:hanging="360"/>
      </w:pPr>
      <w:rPr>
        <w:rFonts w:ascii="Times New Roman" w:hAnsi="Times New Roman" w:hint="default"/>
      </w:rPr>
    </w:lvl>
    <w:lvl w:ilvl="6" w:tplc="7B060C42" w:tentative="1">
      <w:start w:val="1"/>
      <w:numFmt w:val="bullet"/>
      <w:lvlText w:val="•"/>
      <w:lvlJc w:val="left"/>
      <w:pPr>
        <w:tabs>
          <w:tab w:val="num" w:pos="5040"/>
        </w:tabs>
        <w:ind w:left="5040" w:hanging="360"/>
      </w:pPr>
      <w:rPr>
        <w:rFonts w:ascii="Times New Roman" w:hAnsi="Times New Roman" w:hint="default"/>
      </w:rPr>
    </w:lvl>
    <w:lvl w:ilvl="7" w:tplc="C55ABEA6" w:tentative="1">
      <w:start w:val="1"/>
      <w:numFmt w:val="bullet"/>
      <w:lvlText w:val="•"/>
      <w:lvlJc w:val="left"/>
      <w:pPr>
        <w:tabs>
          <w:tab w:val="num" w:pos="5760"/>
        </w:tabs>
        <w:ind w:left="5760" w:hanging="360"/>
      </w:pPr>
      <w:rPr>
        <w:rFonts w:ascii="Times New Roman" w:hAnsi="Times New Roman" w:hint="default"/>
      </w:rPr>
    </w:lvl>
    <w:lvl w:ilvl="8" w:tplc="7686707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1F23B03"/>
    <w:multiLevelType w:val="hybridMultilevel"/>
    <w:tmpl w:val="242AA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A075EE4"/>
    <w:multiLevelType w:val="hybridMultilevel"/>
    <w:tmpl w:val="5622A6AA"/>
    <w:lvl w:ilvl="0" w:tplc="3CFE40A8">
      <w:start w:val="1"/>
      <w:numFmt w:val="bullet"/>
      <w:lvlText w:val="•"/>
      <w:lvlJc w:val="left"/>
      <w:pPr>
        <w:tabs>
          <w:tab w:val="num" w:pos="720"/>
        </w:tabs>
        <w:ind w:left="720" w:hanging="360"/>
      </w:pPr>
      <w:rPr>
        <w:rFonts w:ascii="Times New Roman" w:hAnsi="Times New Roman" w:hint="default"/>
      </w:rPr>
    </w:lvl>
    <w:lvl w:ilvl="1" w:tplc="F3F250C0" w:tentative="1">
      <w:start w:val="1"/>
      <w:numFmt w:val="bullet"/>
      <w:lvlText w:val="•"/>
      <w:lvlJc w:val="left"/>
      <w:pPr>
        <w:tabs>
          <w:tab w:val="num" w:pos="1440"/>
        </w:tabs>
        <w:ind w:left="1440" w:hanging="360"/>
      </w:pPr>
      <w:rPr>
        <w:rFonts w:ascii="Times New Roman" w:hAnsi="Times New Roman" w:hint="default"/>
      </w:rPr>
    </w:lvl>
    <w:lvl w:ilvl="2" w:tplc="4050CEE6" w:tentative="1">
      <w:start w:val="1"/>
      <w:numFmt w:val="bullet"/>
      <w:lvlText w:val="•"/>
      <w:lvlJc w:val="left"/>
      <w:pPr>
        <w:tabs>
          <w:tab w:val="num" w:pos="2160"/>
        </w:tabs>
        <w:ind w:left="2160" w:hanging="360"/>
      </w:pPr>
      <w:rPr>
        <w:rFonts w:ascii="Times New Roman" w:hAnsi="Times New Roman" w:hint="default"/>
      </w:rPr>
    </w:lvl>
    <w:lvl w:ilvl="3" w:tplc="E2D471EE" w:tentative="1">
      <w:start w:val="1"/>
      <w:numFmt w:val="bullet"/>
      <w:lvlText w:val="•"/>
      <w:lvlJc w:val="left"/>
      <w:pPr>
        <w:tabs>
          <w:tab w:val="num" w:pos="2880"/>
        </w:tabs>
        <w:ind w:left="2880" w:hanging="360"/>
      </w:pPr>
      <w:rPr>
        <w:rFonts w:ascii="Times New Roman" w:hAnsi="Times New Roman" w:hint="default"/>
      </w:rPr>
    </w:lvl>
    <w:lvl w:ilvl="4" w:tplc="3672FE86" w:tentative="1">
      <w:start w:val="1"/>
      <w:numFmt w:val="bullet"/>
      <w:lvlText w:val="•"/>
      <w:lvlJc w:val="left"/>
      <w:pPr>
        <w:tabs>
          <w:tab w:val="num" w:pos="3600"/>
        </w:tabs>
        <w:ind w:left="3600" w:hanging="360"/>
      </w:pPr>
      <w:rPr>
        <w:rFonts w:ascii="Times New Roman" w:hAnsi="Times New Roman" w:hint="default"/>
      </w:rPr>
    </w:lvl>
    <w:lvl w:ilvl="5" w:tplc="09FC699A" w:tentative="1">
      <w:start w:val="1"/>
      <w:numFmt w:val="bullet"/>
      <w:lvlText w:val="•"/>
      <w:lvlJc w:val="left"/>
      <w:pPr>
        <w:tabs>
          <w:tab w:val="num" w:pos="4320"/>
        </w:tabs>
        <w:ind w:left="4320" w:hanging="360"/>
      </w:pPr>
      <w:rPr>
        <w:rFonts w:ascii="Times New Roman" w:hAnsi="Times New Roman" w:hint="default"/>
      </w:rPr>
    </w:lvl>
    <w:lvl w:ilvl="6" w:tplc="99AA7554" w:tentative="1">
      <w:start w:val="1"/>
      <w:numFmt w:val="bullet"/>
      <w:lvlText w:val="•"/>
      <w:lvlJc w:val="left"/>
      <w:pPr>
        <w:tabs>
          <w:tab w:val="num" w:pos="5040"/>
        </w:tabs>
        <w:ind w:left="5040" w:hanging="360"/>
      </w:pPr>
      <w:rPr>
        <w:rFonts w:ascii="Times New Roman" w:hAnsi="Times New Roman" w:hint="default"/>
      </w:rPr>
    </w:lvl>
    <w:lvl w:ilvl="7" w:tplc="B4A49E78" w:tentative="1">
      <w:start w:val="1"/>
      <w:numFmt w:val="bullet"/>
      <w:lvlText w:val="•"/>
      <w:lvlJc w:val="left"/>
      <w:pPr>
        <w:tabs>
          <w:tab w:val="num" w:pos="5760"/>
        </w:tabs>
        <w:ind w:left="5760" w:hanging="360"/>
      </w:pPr>
      <w:rPr>
        <w:rFonts w:ascii="Times New Roman" w:hAnsi="Times New Roman" w:hint="default"/>
      </w:rPr>
    </w:lvl>
    <w:lvl w:ilvl="8" w:tplc="F79CB27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B5D16F3"/>
    <w:multiLevelType w:val="hybridMultilevel"/>
    <w:tmpl w:val="54E658C0"/>
    <w:lvl w:ilvl="0" w:tplc="41BC5DC6">
      <w:start w:val="1"/>
      <w:numFmt w:val="bullet"/>
      <w:lvlText w:val="•"/>
      <w:lvlJc w:val="left"/>
      <w:pPr>
        <w:tabs>
          <w:tab w:val="num" w:pos="720"/>
        </w:tabs>
        <w:ind w:left="720" w:hanging="360"/>
      </w:pPr>
      <w:rPr>
        <w:rFonts w:ascii="Times New Roman" w:hAnsi="Times New Roman" w:hint="default"/>
      </w:rPr>
    </w:lvl>
    <w:lvl w:ilvl="1" w:tplc="F16AF2CA" w:tentative="1">
      <w:start w:val="1"/>
      <w:numFmt w:val="bullet"/>
      <w:lvlText w:val="•"/>
      <w:lvlJc w:val="left"/>
      <w:pPr>
        <w:tabs>
          <w:tab w:val="num" w:pos="1440"/>
        </w:tabs>
        <w:ind w:left="1440" w:hanging="360"/>
      </w:pPr>
      <w:rPr>
        <w:rFonts w:ascii="Times New Roman" w:hAnsi="Times New Roman" w:hint="default"/>
      </w:rPr>
    </w:lvl>
    <w:lvl w:ilvl="2" w:tplc="B2F29812" w:tentative="1">
      <w:start w:val="1"/>
      <w:numFmt w:val="bullet"/>
      <w:lvlText w:val="•"/>
      <w:lvlJc w:val="left"/>
      <w:pPr>
        <w:tabs>
          <w:tab w:val="num" w:pos="2160"/>
        </w:tabs>
        <w:ind w:left="2160" w:hanging="360"/>
      </w:pPr>
      <w:rPr>
        <w:rFonts w:ascii="Times New Roman" w:hAnsi="Times New Roman" w:hint="default"/>
      </w:rPr>
    </w:lvl>
    <w:lvl w:ilvl="3" w:tplc="6E08A8C2" w:tentative="1">
      <w:start w:val="1"/>
      <w:numFmt w:val="bullet"/>
      <w:lvlText w:val="•"/>
      <w:lvlJc w:val="left"/>
      <w:pPr>
        <w:tabs>
          <w:tab w:val="num" w:pos="2880"/>
        </w:tabs>
        <w:ind w:left="2880" w:hanging="360"/>
      </w:pPr>
      <w:rPr>
        <w:rFonts w:ascii="Times New Roman" w:hAnsi="Times New Roman" w:hint="default"/>
      </w:rPr>
    </w:lvl>
    <w:lvl w:ilvl="4" w:tplc="CCCADE46" w:tentative="1">
      <w:start w:val="1"/>
      <w:numFmt w:val="bullet"/>
      <w:lvlText w:val="•"/>
      <w:lvlJc w:val="left"/>
      <w:pPr>
        <w:tabs>
          <w:tab w:val="num" w:pos="3600"/>
        </w:tabs>
        <w:ind w:left="3600" w:hanging="360"/>
      </w:pPr>
      <w:rPr>
        <w:rFonts w:ascii="Times New Roman" w:hAnsi="Times New Roman" w:hint="default"/>
      </w:rPr>
    </w:lvl>
    <w:lvl w:ilvl="5" w:tplc="D01E8E00" w:tentative="1">
      <w:start w:val="1"/>
      <w:numFmt w:val="bullet"/>
      <w:lvlText w:val="•"/>
      <w:lvlJc w:val="left"/>
      <w:pPr>
        <w:tabs>
          <w:tab w:val="num" w:pos="4320"/>
        </w:tabs>
        <w:ind w:left="4320" w:hanging="360"/>
      </w:pPr>
      <w:rPr>
        <w:rFonts w:ascii="Times New Roman" w:hAnsi="Times New Roman" w:hint="default"/>
      </w:rPr>
    </w:lvl>
    <w:lvl w:ilvl="6" w:tplc="15F6C7BA" w:tentative="1">
      <w:start w:val="1"/>
      <w:numFmt w:val="bullet"/>
      <w:lvlText w:val="•"/>
      <w:lvlJc w:val="left"/>
      <w:pPr>
        <w:tabs>
          <w:tab w:val="num" w:pos="5040"/>
        </w:tabs>
        <w:ind w:left="5040" w:hanging="360"/>
      </w:pPr>
      <w:rPr>
        <w:rFonts w:ascii="Times New Roman" w:hAnsi="Times New Roman" w:hint="default"/>
      </w:rPr>
    </w:lvl>
    <w:lvl w:ilvl="7" w:tplc="C02ABEE0" w:tentative="1">
      <w:start w:val="1"/>
      <w:numFmt w:val="bullet"/>
      <w:lvlText w:val="•"/>
      <w:lvlJc w:val="left"/>
      <w:pPr>
        <w:tabs>
          <w:tab w:val="num" w:pos="5760"/>
        </w:tabs>
        <w:ind w:left="5760" w:hanging="360"/>
      </w:pPr>
      <w:rPr>
        <w:rFonts w:ascii="Times New Roman" w:hAnsi="Times New Roman" w:hint="default"/>
      </w:rPr>
    </w:lvl>
    <w:lvl w:ilvl="8" w:tplc="330255A0" w:tentative="1">
      <w:start w:val="1"/>
      <w:numFmt w:val="bullet"/>
      <w:lvlText w:val="•"/>
      <w:lvlJc w:val="left"/>
      <w:pPr>
        <w:tabs>
          <w:tab w:val="num" w:pos="6480"/>
        </w:tabs>
        <w:ind w:left="6480" w:hanging="360"/>
      </w:pPr>
      <w:rPr>
        <w:rFonts w:ascii="Times New Roman" w:hAnsi="Times New Roman" w:hint="default"/>
      </w:rPr>
    </w:lvl>
  </w:abstractNum>
  <w:abstractNum w:abstractNumId="8">
    <w:nsid w:val="42C11561"/>
    <w:multiLevelType w:val="hybridMultilevel"/>
    <w:tmpl w:val="D97ACB42"/>
    <w:lvl w:ilvl="0" w:tplc="497EC676">
      <w:start w:val="1"/>
      <w:numFmt w:val="bullet"/>
      <w:lvlText w:val="•"/>
      <w:lvlJc w:val="left"/>
      <w:pPr>
        <w:tabs>
          <w:tab w:val="num" w:pos="720"/>
        </w:tabs>
        <w:ind w:left="720" w:hanging="360"/>
      </w:pPr>
      <w:rPr>
        <w:rFonts w:ascii="Times New Roman" w:hAnsi="Times New Roman" w:hint="default"/>
      </w:rPr>
    </w:lvl>
    <w:lvl w:ilvl="1" w:tplc="390E281C" w:tentative="1">
      <w:start w:val="1"/>
      <w:numFmt w:val="bullet"/>
      <w:lvlText w:val="•"/>
      <w:lvlJc w:val="left"/>
      <w:pPr>
        <w:tabs>
          <w:tab w:val="num" w:pos="1440"/>
        </w:tabs>
        <w:ind w:left="1440" w:hanging="360"/>
      </w:pPr>
      <w:rPr>
        <w:rFonts w:ascii="Times New Roman" w:hAnsi="Times New Roman" w:hint="default"/>
      </w:rPr>
    </w:lvl>
    <w:lvl w:ilvl="2" w:tplc="3AFC6638" w:tentative="1">
      <w:start w:val="1"/>
      <w:numFmt w:val="bullet"/>
      <w:lvlText w:val="•"/>
      <w:lvlJc w:val="left"/>
      <w:pPr>
        <w:tabs>
          <w:tab w:val="num" w:pos="2160"/>
        </w:tabs>
        <w:ind w:left="2160" w:hanging="360"/>
      </w:pPr>
      <w:rPr>
        <w:rFonts w:ascii="Times New Roman" w:hAnsi="Times New Roman" w:hint="default"/>
      </w:rPr>
    </w:lvl>
    <w:lvl w:ilvl="3" w:tplc="127A4C9C" w:tentative="1">
      <w:start w:val="1"/>
      <w:numFmt w:val="bullet"/>
      <w:lvlText w:val="•"/>
      <w:lvlJc w:val="left"/>
      <w:pPr>
        <w:tabs>
          <w:tab w:val="num" w:pos="2880"/>
        </w:tabs>
        <w:ind w:left="2880" w:hanging="360"/>
      </w:pPr>
      <w:rPr>
        <w:rFonts w:ascii="Times New Roman" w:hAnsi="Times New Roman" w:hint="default"/>
      </w:rPr>
    </w:lvl>
    <w:lvl w:ilvl="4" w:tplc="88BACF88" w:tentative="1">
      <w:start w:val="1"/>
      <w:numFmt w:val="bullet"/>
      <w:lvlText w:val="•"/>
      <w:lvlJc w:val="left"/>
      <w:pPr>
        <w:tabs>
          <w:tab w:val="num" w:pos="3600"/>
        </w:tabs>
        <w:ind w:left="3600" w:hanging="360"/>
      </w:pPr>
      <w:rPr>
        <w:rFonts w:ascii="Times New Roman" w:hAnsi="Times New Roman" w:hint="default"/>
      </w:rPr>
    </w:lvl>
    <w:lvl w:ilvl="5" w:tplc="33ACC81A" w:tentative="1">
      <w:start w:val="1"/>
      <w:numFmt w:val="bullet"/>
      <w:lvlText w:val="•"/>
      <w:lvlJc w:val="left"/>
      <w:pPr>
        <w:tabs>
          <w:tab w:val="num" w:pos="4320"/>
        </w:tabs>
        <w:ind w:left="4320" w:hanging="360"/>
      </w:pPr>
      <w:rPr>
        <w:rFonts w:ascii="Times New Roman" w:hAnsi="Times New Roman" w:hint="default"/>
      </w:rPr>
    </w:lvl>
    <w:lvl w:ilvl="6" w:tplc="1F7EA306" w:tentative="1">
      <w:start w:val="1"/>
      <w:numFmt w:val="bullet"/>
      <w:lvlText w:val="•"/>
      <w:lvlJc w:val="left"/>
      <w:pPr>
        <w:tabs>
          <w:tab w:val="num" w:pos="5040"/>
        </w:tabs>
        <w:ind w:left="5040" w:hanging="360"/>
      </w:pPr>
      <w:rPr>
        <w:rFonts w:ascii="Times New Roman" w:hAnsi="Times New Roman" w:hint="default"/>
      </w:rPr>
    </w:lvl>
    <w:lvl w:ilvl="7" w:tplc="B33ED548" w:tentative="1">
      <w:start w:val="1"/>
      <w:numFmt w:val="bullet"/>
      <w:lvlText w:val="•"/>
      <w:lvlJc w:val="left"/>
      <w:pPr>
        <w:tabs>
          <w:tab w:val="num" w:pos="5760"/>
        </w:tabs>
        <w:ind w:left="5760" w:hanging="360"/>
      </w:pPr>
      <w:rPr>
        <w:rFonts w:ascii="Times New Roman" w:hAnsi="Times New Roman" w:hint="default"/>
      </w:rPr>
    </w:lvl>
    <w:lvl w:ilvl="8" w:tplc="E4DA0C4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55B6CA6"/>
    <w:multiLevelType w:val="hybridMultilevel"/>
    <w:tmpl w:val="F7F4E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FB2B7A"/>
    <w:multiLevelType w:val="hybridMultilevel"/>
    <w:tmpl w:val="1ED42AC0"/>
    <w:lvl w:ilvl="0" w:tplc="7616A0AE">
      <w:start w:val="1"/>
      <w:numFmt w:val="bullet"/>
      <w:lvlText w:val="•"/>
      <w:lvlJc w:val="left"/>
      <w:pPr>
        <w:tabs>
          <w:tab w:val="num" w:pos="720"/>
        </w:tabs>
        <w:ind w:left="720" w:hanging="360"/>
      </w:pPr>
      <w:rPr>
        <w:rFonts w:ascii="Times New Roman" w:hAnsi="Times New Roman" w:hint="default"/>
      </w:rPr>
    </w:lvl>
    <w:lvl w:ilvl="1" w:tplc="BB707120" w:tentative="1">
      <w:start w:val="1"/>
      <w:numFmt w:val="bullet"/>
      <w:lvlText w:val="•"/>
      <w:lvlJc w:val="left"/>
      <w:pPr>
        <w:tabs>
          <w:tab w:val="num" w:pos="1440"/>
        </w:tabs>
        <w:ind w:left="1440" w:hanging="360"/>
      </w:pPr>
      <w:rPr>
        <w:rFonts w:ascii="Times New Roman" w:hAnsi="Times New Roman" w:hint="default"/>
      </w:rPr>
    </w:lvl>
    <w:lvl w:ilvl="2" w:tplc="77DE0590" w:tentative="1">
      <w:start w:val="1"/>
      <w:numFmt w:val="bullet"/>
      <w:lvlText w:val="•"/>
      <w:lvlJc w:val="left"/>
      <w:pPr>
        <w:tabs>
          <w:tab w:val="num" w:pos="2160"/>
        </w:tabs>
        <w:ind w:left="2160" w:hanging="360"/>
      </w:pPr>
      <w:rPr>
        <w:rFonts w:ascii="Times New Roman" w:hAnsi="Times New Roman" w:hint="default"/>
      </w:rPr>
    </w:lvl>
    <w:lvl w:ilvl="3" w:tplc="C19292FC" w:tentative="1">
      <w:start w:val="1"/>
      <w:numFmt w:val="bullet"/>
      <w:lvlText w:val="•"/>
      <w:lvlJc w:val="left"/>
      <w:pPr>
        <w:tabs>
          <w:tab w:val="num" w:pos="2880"/>
        </w:tabs>
        <w:ind w:left="2880" w:hanging="360"/>
      </w:pPr>
      <w:rPr>
        <w:rFonts w:ascii="Times New Roman" w:hAnsi="Times New Roman" w:hint="default"/>
      </w:rPr>
    </w:lvl>
    <w:lvl w:ilvl="4" w:tplc="312608FC" w:tentative="1">
      <w:start w:val="1"/>
      <w:numFmt w:val="bullet"/>
      <w:lvlText w:val="•"/>
      <w:lvlJc w:val="left"/>
      <w:pPr>
        <w:tabs>
          <w:tab w:val="num" w:pos="3600"/>
        </w:tabs>
        <w:ind w:left="3600" w:hanging="360"/>
      </w:pPr>
      <w:rPr>
        <w:rFonts w:ascii="Times New Roman" w:hAnsi="Times New Roman" w:hint="default"/>
      </w:rPr>
    </w:lvl>
    <w:lvl w:ilvl="5" w:tplc="1D140A44" w:tentative="1">
      <w:start w:val="1"/>
      <w:numFmt w:val="bullet"/>
      <w:lvlText w:val="•"/>
      <w:lvlJc w:val="left"/>
      <w:pPr>
        <w:tabs>
          <w:tab w:val="num" w:pos="4320"/>
        </w:tabs>
        <w:ind w:left="4320" w:hanging="360"/>
      </w:pPr>
      <w:rPr>
        <w:rFonts w:ascii="Times New Roman" w:hAnsi="Times New Roman" w:hint="default"/>
      </w:rPr>
    </w:lvl>
    <w:lvl w:ilvl="6" w:tplc="1CAEAE8E" w:tentative="1">
      <w:start w:val="1"/>
      <w:numFmt w:val="bullet"/>
      <w:lvlText w:val="•"/>
      <w:lvlJc w:val="left"/>
      <w:pPr>
        <w:tabs>
          <w:tab w:val="num" w:pos="5040"/>
        </w:tabs>
        <w:ind w:left="5040" w:hanging="360"/>
      </w:pPr>
      <w:rPr>
        <w:rFonts w:ascii="Times New Roman" w:hAnsi="Times New Roman" w:hint="default"/>
      </w:rPr>
    </w:lvl>
    <w:lvl w:ilvl="7" w:tplc="0B60C9A6" w:tentative="1">
      <w:start w:val="1"/>
      <w:numFmt w:val="bullet"/>
      <w:lvlText w:val="•"/>
      <w:lvlJc w:val="left"/>
      <w:pPr>
        <w:tabs>
          <w:tab w:val="num" w:pos="5760"/>
        </w:tabs>
        <w:ind w:left="5760" w:hanging="360"/>
      </w:pPr>
      <w:rPr>
        <w:rFonts w:ascii="Times New Roman" w:hAnsi="Times New Roman" w:hint="default"/>
      </w:rPr>
    </w:lvl>
    <w:lvl w:ilvl="8" w:tplc="88A49D4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9E456D8"/>
    <w:multiLevelType w:val="hybridMultilevel"/>
    <w:tmpl w:val="C7709FB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AD265AA"/>
    <w:multiLevelType w:val="hybridMultilevel"/>
    <w:tmpl w:val="0B74DA6E"/>
    <w:lvl w:ilvl="0" w:tplc="31EEEB0A">
      <w:start w:val="1"/>
      <w:numFmt w:val="bullet"/>
      <w:lvlText w:val="•"/>
      <w:lvlJc w:val="left"/>
      <w:pPr>
        <w:tabs>
          <w:tab w:val="num" w:pos="720"/>
        </w:tabs>
        <w:ind w:left="720" w:hanging="360"/>
      </w:pPr>
      <w:rPr>
        <w:rFonts w:ascii="Times New Roman" w:hAnsi="Times New Roman" w:hint="default"/>
      </w:rPr>
    </w:lvl>
    <w:lvl w:ilvl="1" w:tplc="7D08049A" w:tentative="1">
      <w:start w:val="1"/>
      <w:numFmt w:val="bullet"/>
      <w:lvlText w:val="•"/>
      <w:lvlJc w:val="left"/>
      <w:pPr>
        <w:tabs>
          <w:tab w:val="num" w:pos="1440"/>
        </w:tabs>
        <w:ind w:left="1440" w:hanging="360"/>
      </w:pPr>
      <w:rPr>
        <w:rFonts w:ascii="Times New Roman" w:hAnsi="Times New Roman" w:hint="default"/>
      </w:rPr>
    </w:lvl>
    <w:lvl w:ilvl="2" w:tplc="D5FE1CA2" w:tentative="1">
      <w:start w:val="1"/>
      <w:numFmt w:val="bullet"/>
      <w:lvlText w:val="•"/>
      <w:lvlJc w:val="left"/>
      <w:pPr>
        <w:tabs>
          <w:tab w:val="num" w:pos="2160"/>
        </w:tabs>
        <w:ind w:left="2160" w:hanging="360"/>
      </w:pPr>
      <w:rPr>
        <w:rFonts w:ascii="Times New Roman" w:hAnsi="Times New Roman" w:hint="default"/>
      </w:rPr>
    </w:lvl>
    <w:lvl w:ilvl="3" w:tplc="C98216BC" w:tentative="1">
      <w:start w:val="1"/>
      <w:numFmt w:val="bullet"/>
      <w:lvlText w:val="•"/>
      <w:lvlJc w:val="left"/>
      <w:pPr>
        <w:tabs>
          <w:tab w:val="num" w:pos="2880"/>
        </w:tabs>
        <w:ind w:left="2880" w:hanging="360"/>
      </w:pPr>
      <w:rPr>
        <w:rFonts w:ascii="Times New Roman" w:hAnsi="Times New Roman" w:hint="default"/>
      </w:rPr>
    </w:lvl>
    <w:lvl w:ilvl="4" w:tplc="7166DE7A" w:tentative="1">
      <w:start w:val="1"/>
      <w:numFmt w:val="bullet"/>
      <w:lvlText w:val="•"/>
      <w:lvlJc w:val="left"/>
      <w:pPr>
        <w:tabs>
          <w:tab w:val="num" w:pos="3600"/>
        </w:tabs>
        <w:ind w:left="3600" w:hanging="360"/>
      </w:pPr>
      <w:rPr>
        <w:rFonts w:ascii="Times New Roman" w:hAnsi="Times New Roman" w:hint="default"/>
      </w:rPr>
    </w:lvl>
    <w:lvl w:ilvl="5" w:tplc="AA4CB4F8" w:tentative="1">
      <w:start w:val="1"/>
      <w:numFmt w:val="bullet"/>
      <w:lvlText w:val="•"/>
      <w:lvlJc w:val="left"/>
      <w:pPr>
        <w:tabs>
          <w:tab w:val="num" w:pos="4320"/>
        </w:tabs>
        <w:ind w:left="4320" w:hanging="360"/>
      </w:pPr>
      <w:rPr>
        <w:rFonts w:ascii="Times New Roman" w:hAnsi="Times New Roman" w:hint="default"/>
      </w:rPr>
    </w:lvl>
    <w:lvl w:ilvl="6" w:tplc="3364E89A" w:tentative="1">
      <w:start w:val="1"/>
      <w:numFmt w:val="bullet"/>
      <w:lvlText w:val="•"/>
      <w:lvlJc w:val="left"/>
      <w:pPr>
        <w:tabs>
          <w:tab w:val="num" w:pos="5040"/>
        </w:tabs>
        <w:ind w:left="5040" w:hanging="360"/>
      </w:pPr>
      <w:rPr>
        <w:rFonts w:ascii="Times New Roman" w:hAnsi="Times New Roman" w:hint="default"/>
      </w:rPr>
    </w:lvl>
    <w:lvl w:ilvl="7" w:tplc="E54E5ECC" w:tentative="1">
      <w:start w:val="1"/>
      <w:numFmt w:val="bullet"/>
      <w:lvlText w:val="•"/>
      <w:lvlJc w:val="left"/>
      <w:pPr>
        <w:tabs>
          <w:tab w:val="num" w:pos="5760"/>
        </w:tabs>
        <w:ind w:left="5760" w:hanging="360"/>
      </w:pPr>
      <w:rPr>
        <w:rFonts w:ascii="Times New Roman" w:hAnsi="Times New Roman" w:hint="default"/>
      </w:rPr>
    </w:lvl>
    <w:lvl w:ilvl="8" w:tplc="10C6B94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EFA6919"/>
    <w:multiLevelType w:val="hybridMultilevel"/>
    <w:tmpl w:val="56AC915A"/>
    <w:lvl w:ilvl="0" w:tplc="CCF45610">
      <w:start w:val="1"/>
      <w:numFmt w:val="bullet"/>
      <w:lvlText w:val="•"/>
      <w:lvlJc w:val="left"/>
      <w:pPr>
        <w:tabs>
          <w:tab w:val="num" w:pos="720"/>
        </w:tabs>
        <w:ind w:left="720" w:hanging="360"/>
      </w:pPr>
      <w:rPr>
        <w:rFonts w:ascii="Times New Roman" w:hAnsi="Times New Roman" w:hint="default"/>
      </w:rPr>
    </w:lvl>
    <w:lvl w:ilvl="1" w:tplc="3CA62D32" w:tentative="1">
      <w:start w:val="1"/>
      <w:numFmt w:val="bullet"/>
      <w:lvlText w:val="•"/>
      <w:lvlJc w:val="left"/>
      <w:pPr>
        <w:tabs>
          <w:tab w:val="num" w:pos="1440"/>
        </w:tabs>
        <w:ind w:left="1440" w:hanging="360"/>
      </w:pPr>
      <w:rPr>
        <w:rFonts w:ascii="Times New Roman" w:hAnsi="Times New Roman" w:hint="default"/>
      </w:rPr>
    </w:lvl>
    <w:lvl w:ilvl="2" w:tplc="2DFED308" w:tentative="1">
      <w:start w:val="1"/>
      <w:numFmt w:val="bullet"/>
      <w:lvlText w:val="•"/>
      <w:lvlJc w:val="left"/>
      <w:pPr>
        <w:tabs>
          <w:tab w:val="num" w:pos="2160"/>
        </w:tabs>
        <w:ind w:left="2160" w:hanging="360"/>
      </w:pPr>
      <w:rPr>
        <w:rFonts w:ascii="Times New Roman" w:hAnsi="Times New Roman" w:hint="default"/>
      </w:rPr>
    </w:lvl>
    <w:lvl w:ilvl="3" w:tplc="8D28BB9C" w:tentative="1">
      <w:start w:val="1"/>
      <w:numFmt w:val="bullet"/>
      <w:lvlText w:val="•"/>
      <w:lvlJc w:val="left"/>
      <w:pPr>
        <w:tabs>
          <w:tab w:val="num" w:pos="2880"/>
        </w:tabs>
        <w:ind w:left="2880" w:hanging="360"/>
      </w:pPr>
      <w:rPr>
        <w:rFonts w:ascii="Times New Roman" w:hAnsi="Times New Roman" w:hint="default"/>
      </w:rPr>
    </w:lvl>
    <w:lvl w:ilvl="4" w:tplc="E6CA7E2C" w:tentative="1">
      <w:start w:val="1"/>
      <w:numFmt w:val="bullet"/>
      <w:lvlText w:val="•"/>
      <w:lvlJc w:val="left"/>
      <w:pPr>
        <w:tabs>
          <w:tab w:val="num" w:pos="3600"/>
        </w:tabs>
        <w:ind w:left="3600" w:hanging="360"/>
      </w:pPr>
      <w:rPr>
        <w:rFonts w:ascii="Times New Roman" w:hAnsi="Times New Roman" w:hint="default"/>
      </w:rPr>
    </w:lvl>
    <w:lvl w:ilvl="5" w:tplc="038EC5BE" w:tentative="1">
      <w:start w:val="1"/>
      <w:numFmt w:val="bullet"/>
      <w:lvlText w:val="•"/>
      <w:lvlJc w:val="left"/>
      <w:pPr>
        <w:tabs>
          <w:tab w:val="num" w:pos="4320"/>
        </w:tabs>
        <w:ind w:left="4320" w:hanging="360"/>
      </w:pPr>
      <w:rPr>
        <w:rFonts w:ascii="Times New Roman" w:hAnsi="Times New Roman" w:hint="default"/>
      </w:rPr>
    </w:lvl>
    <w:lvl w:ilvl="6" w:tplc="B3D0E43A" w:tentative="1">
      <w:start w:val="1"/>
      <w:numFmt w:val="bullet"/>
      <w:lvlText w:val="•"/>
      <w:lvlJc w:val="left"/>
      <w:pPr>
        <w:tabs>
          <w:tab w:val="num" w:pos="5040"/>
        </w:tabs>
        <w:ind w:left="5040" w:hanging="360"/>
      </w:pPr>
      <w:rPr>
        <w:rFonts w:ascii="Times New Roman" w:hAnsi="Times New Roman" w:hint="default"/>
      </w:rPr>
    </w:lvl>
    <w:lvl w:ilvl="7" w:tplc="388E1E98" w:tentative="1">
      <w:start w:val="1"/>
      <w:numFmt w:val="bullet"/>
      <w:lvlText w:val="•"/>
      <w:lvlJc w:val="left"/>
      <w:pPr>
        <w:tabs>
          <w:tab w:val="num" w:pos="5760"/>
        </w:tabs>
        <w:ind w:left="5760" w:hanging="360"/>
      </w:pPr>
      <w:rPr>
        <w:rFonts w:ascii="Times New Roman" w:hAnsi="Times New Roman" w:hint="default"/>
      </w:rPr>
    </w:lvl>
    <w:lvl w:ilvl="8" w:tplc="1144D45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8001EC8"/>
    <w:multiLevelType w:val="hybridMultilevel"/>
    <w:tmpl w:val="4A448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8886C49"/>
    <w:multiLevelType w:val="hybridMultilevel"/>
    <w:tmpl w:val="0A585256"/>
    <w:lvl w:ilvl="0" w:tplc="096CCC74">
      <w:start w:val="1"/>
      <w:numFmt w:val="bullet"/>
      <w:lvlText w:val="•"/>
      <w:lvlJc w:val="left"/>
      <w:pPr>
        <w:tabs>
          <w:tab w:val="num" w:pos="720"/>
        </w:tabs>
        <w:ind w:left="720" w:hanging="360"/>
      </w:pPr>
      <w:rPr>
        <w:rFonts w:ascii="Times New Roman" w:hAnsi="Times New Roman" w:hint="default"/>
      </w:rPr>
    </w:lvl>
    <w:lvl w:ilvl="1" w:tplc="FE9657EE" w:tentative="1">
      <w:start w:val="1"/>
      <w:numFmt w:val="bullet"/>
      <w:lvlText w:val="•"/>
      <w:lvlJc w:val="left"/>
      <w:pPr>
        <w:tabs>
          <w:tab w:val="num" w:pos="1440"/>
        </w:tabs>
        <w:ind w:left="1440" w:hanging="360"/>
      </w:pPr>
      <w:rPr>
        <w:rFonts w:ascii="Times New Roman" w:hAnsi="Times New Roman" w:hint="default"/>
      </w:rPr>
    </w:lvl>
    <w:lvl w:ilvl="2" w:tplc="D9AA1086" w:tentative="1">
      <w:start w:val="1"/>
      <w:numFmt w:val="bullet"/>
      <w:lvlText w:val="•"/>
      <w:lvlJc w:val="left"/>
      <w:pPr>
        <w:tabs>
          <w:tab w:val="num" w:pos="2160"/>
        </w:tabs>
        <w:ind w:left="2160" w:hanging="360"/>
      </w:pPr>
      <w:rPr>
        <w:rFonts w:ascii="Times New Roman" w:hAnsi="Times New Roman" w:hint="default"/>
      </w:rPr>
    </w:lvl>
    <w:lvl w:ilvl="3" w:tplc="5C8E4122" w:tentative="1">
      <w:start w:val="1"/>
      <w:numFmt w:val="bullet"/>
      <w:lvlText w:val="•"/>
      <w:lvlJc w:val="left"/>
      <w:pPr>
        <w:tabs>
          <w:tab w:val="num" w:pos="2880"/>
        </w:tabs>
        <w:ind w:left="2880" w:hanging="360"/>
      </w:pPr>
      <w:rPr>
        <w:rFonts w:ascii="Times New Roman" w:hAnsi="Times New Roman" w:hint="default"/>
      </w:rPr>
    </w:lvl>
    <w:lvl w:ilvl="4" w:tplc="4AAACDBA" w:tentative="1">
      <w:start w:val="1"/>
      <w:numFmt w:val="bullet"/>
      <w:lvlText w:val="•"/>
      <w:lvlJc w:val="left"/>
      <w:pPr>
        <w:tabs>
          <w:tab w:val="num" w:pos="3600"/>
        </w:tabs>
        <w:ind w:left="3600" w:hanging="360"/>
      </w:pPr>
      <w:rPr>
        <w:rFonts w:ascii="Times New Roman" w:hAnsi="Times New Roman" w:hint="default"/>
      </w:rPr>
    </w:lvl>
    <w:lvl w:ilvl="5" w:tplc="E012C3BC" w:tentative="1">
      <w:start w:val="1"/>
      <w:numFmt w:val="bullet"/>
      <w:lvlText w:val="•"/>
      <w:lvlJc w:val="left"/>
      <w:pPr>
        <w:tabs>
          <w:tab w:val="num" w:pos="4320"/>
        </w:tabs>
        <w:ind w:left="4320" w:hanging="360"/>
      </w:pPr>
      <w:rPr>
        <w:rFonts w:ascii="Times New Roman" w:hAnsi="Times New Roman" w:hint="default"/>
      </w:rPr>
    </w:lvl>
    <w:lvl w:ilvl="6" w:tplc="822A0D58" w:tentative="1">
      <w:start w:val="1"/>
      <w:numFmt w:val="bullet"/>
      <w:lvlText w:val="•"/>
      <w:lvlJc w:val="left"/>
      <w:pPr>
        <w:tabs>
          <w:tab w:val="num" w:pos="5040"/>
        </w:tabs>
        <w:ind w:left="5040" w:hanging="360"/>
      </w:pPr>
      <w:rPr>
        <w:rFonts w:ascii="Times New Roman" w:hAnsi="Times New Roman" w:hint="default"/>
      </w:rPr>
    </w:lvl>
    <w:lvl w:ilvl="7" w:tplc="602288EC" w:tentative="1">
      <w:start w:val="1"/>
      <w:numFmt w:val="bullet"/>
      <w:lvlText w:val="•"/>
      <w:lvlJc w:val="left"/>
      <w:pPr>
        <w:tabs>
          <w:tab w:val="num" w:pos="5760"/>
        </w:tabs>
        <w:ind w:left="5760" w:hanging="360"/>
      </w:pPr>
      <w:rPr>
        <w:rFonts w:ascii="Times New Roman" w:hAnsi="Times New Roman" w:hint="default"/>
      </w:rPr>
    </w:lvl>
    <w:lvl w:ilvl="8" w:tplc="5ADC1F4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9C74D16"/>
    <w:multiLevelType w:val="hybridMultilevel"/>
    <w:tmpl w:val="FD38E10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6B211485"/>
    <w:multiLevelType w:val="hybridMultilevel"/>
    <w:tmpl w:val="BE1A743E"/>
    <w:lvl w:ilvl="0" w:tplc="11B22C72">
      <w:start w:val="1"/>
      <w:numFmt w:val="bullet"/>
      <w:lvlText w:val="•"/>
      <w:lvlJc w:val="left"/>
      <w:pPr>
        <w:tabs>
          <w:tab w:val="num" w:pos="720"/>
        </w:tabs>
        <w:ind w:left="720" w:hanging="360"/>
      </w:pPr>
      <w:rPr>
        <w:rFonts w:ascii="Times New Roman" w:hAnsi="Times New Roman" w:hint="default"/>
      </w:rPr>
    </w:lvl>
    <w:lvl w:ilvl="1" w:tplc="62245C4E" w:tentative="1">
      <w:start w:val="1"/>
      <w:numFmt w:val="bullet"/>
      <w:lvlText w:val="•"/>
      <w:lvlJc w:val="left"/>
      <w:pPr>
        <w:tabs>
          <w:tab w:val="num" w:pos="1440"/>
        </w:tabs>
        <w:ind w:left="1440" w:hanging="360"/>
      </w:pPr>
      <w:rPr>
        <w:rFonts w:ascii="Times New Roman" w:hAnsi="Times New Roman" w:hint="default"/>
      </w:rPr>
    </w:lvl>
    <w:lvl w:ilvl="2" w:tplc="B5725764" w:tentative="1">
      <w:start w:val="1"/>
      <w:numFmt w:val="bullet"/>
      <w:lvlText w:val="•"/>
      <w:lvlJc w:val="left"/>
      <w:pPr>
        <w:tabs>
          <w:tab w:val="num" w:pos="2160"/>
        </w:tabs>
        <w:ind w:left="2160" w:hanging="360"/>
      </w:pPr>
      <w:rPr>
        <w:rFonts w:ascii="Times New Roman" w:hAnsi="Times New Roman" w:hint="default"/>
      </w:rPr>
    </w:lvl>
    <w:lvl w:ilvl="3" w:tplc="11B223F2" w:tentative="1">
      <w:start w:val="1"/>
      <w:numFmt w:val="bullet"/>
      <w:lvlText w:val="•"/>
      <w:lvlJc w:val="left"/>
      <w:pPr>
        <w:tabs>
          <w:tab w:val="num" w:pos="2880"/>
        </w:tabs>
        <w:ind w:left="2880" w:hanging="360"/>
      </w:pPr>
      <w:rPr>
        <w:rFonts w:ascii="Times New Roman" w:hAnsi="Times New Roman" w:hint="default"/>
      </w:rPr>
    </w:lvl>
    <w:lvl w:ilvl="4" w:tplc="63C87A22" w:tentative="1">
      <w:start w:val="1"/>
      <w:numFmt w:val="bullet"/>
      <w:lvlText w:val="•"/>
      <w:lvlJc w:val="left"/>
      <w:pPr>
        <w:tabs>
          <w:tab w:val="num" w:pos="3600"/>
        </w:tabs>
        <w:ind w:left="3600" w:hanging="360"/>
      </w:pPr>
      <w:rPr>
        <w:rFonts w:ascii="Times New Roman" w:hAnsi="Times New Roman" w:hint="default"/>
      </w:rPr>
    </w:lvl>
    <w:lvl w:ilvl="5" w:tplc="FC4A461C" w:tentative="1">
      <w:start w:val="1"/>
      <w:numFmt w:val="bullet"/>
      <w:lvlText w:val="•"/>
      <w:lvlJc w:val="left"/>
      <w:pPr>
        <w:tabs>
          <w:tab w:val="num" w:pos="4320"/>
        </w:tabs>
        <w:ind w:left="4320" w:hanging="360"/>
      </w:pPr>
      <w:rPr>
        <w:rFonts w:ascii="Times New Roman" w:hAnsi="Times New Roman" w:hint="default"/>
      </w:rPr>
    </w:lvl>
    <w:lvl w:ilvl="6" w:tplc="162E59D6" w:tentative="1">
      <w:start w:val="1"/>
      <w:numFmt w:val="bullet"/>
      <w:lvlText w:val="•"/>
      <w:lvlJc w:val="left"/>
      <w:pPr>
        <w:tabs>
          <w:tab w:val="num" w:pos="5040"/>
        </w:tabs>
        <w:ind w:left="5040" w:hanging="360"/>
      </w:pPr>
      <w:rPr>
        <w:rFonts w:ascii="Times New Roman" w:hAnsi="Times New Roman" w:hint="default"/>
      </w:rPr>
    </w:lvl>
    <w:lvl w:ilvl="7" w:tplc="EA322C4E" w:tentative="1">
      <w:start w:val="1"/>
      <w:numFmt w:val="bullet"/>
      <w:lvlText w:val="•"/>
      <w:lvlJc w:val="left"/>
      <w:pPr>
        <w:tabs>
          <w:tab w:val="num" w:pos="5760"/>
        </w:tabs>
        <w:ind w:left="5760" w:hanging="360"/>
      </w:pPr>
      <w:rPr>
        <w:rFonts w:ascii="Times New Roman" w:hAnsi="Times New Roman" w:hint="default"/>
      </w:rPr>
    </w:lvl>
    <w:lvl w:ilvl="8" w:tplc="38F6902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B926D86"/>
    <w:multiLevelType w:val="hybridMultilevel"/>
    <w:tmpl w:val="EE4C97AC"/>
    <w:lvl w:ilvl="0" w:tplc="3B7C9004">
      <w:start w:val="1"/>
      <w:numFmt w:val="bullet"/>
      <w:lvlText w:val="•"/>
      <w:lvlJc w:val="left"/>
      <w:pPr>
        <w:tabs>
          <w:tab w:val="num" w:pos="720"/>
        </w:tabs>
        <w:ind w:left="720" w:hanging="360"/>
      </w:pPr>
      <w:rPr>
        <w:rFonts w:ascii="Times New Roman" w:hAnsi="Times New Roman" w:hint="default"/>
      </w:rPr>
    </w:lvl>
    <w:lvl w:ilvl="1" w:tplc="762CDC04" w:tentative="1">
      <w:start w:val="1"/>
      <w:numFmt w:val="bullet"/>
      <w:lvlText w:val="•"/>
      <w:lvlJc w:val="left"/>
      <w:pPr>
        <w:tabs>
          <w:tab w:val="num" w:pos="1440"/>
        </w:tabs>
        <w:ind w:left="1440" w:hanging="360"/>
      </w:pPr>
      <w:rPr>
        <w:rFonts w:ascii="Times New Roman" w:hAnsi="Times New Roman" w:hint="default"/>
      </w:rPr>
    </w:lvl>
    <w:lvl w:ilvl="2" w:tplc="027C917E" w:tentative="1">
      <w:start w:val="1"/>
      <w:numFmt w:val="bullet"/>
      <w:lvlText w:val="•"/>
      <w:lvlJc w:val="left"/>
      <w:pPr>
        <w:tabs>
          <w:tab w:val="num" w:pos="2160"/>
        </w:tabs>
        <w:ind w:left="2160" w:hanging="360"/>
      </w:pPr>
      <w:rPr>
        <w:rFonts w:ascii="Times New Roman" w:hAnsi="Times New Roman" w:hint="default"/>
      </w:rPr>
    </w:lvl>
    <w:lvl w:ilvl="3" w:tplc="269A6BCE" w:tentative="1">
      <w:start w:val="1"/>
      <w:numFmt w:val="bullet"/>
      <w:lvlText w:val="•"/>
      <w:lvlJc w:val="left"/>
      <w:pPr>
        <w:tabs>
          <w:tab w:val="num" w:pos="2880"/>
        </w:tabs>
        <w:ind w:left="2880" w:hanging="360"/>
      </w:pPr>
      <w:rPr>
        <w:rFonts w:ascii="Times New Roman" w:hAnsi="Times New Roman" w:hint="default"/>
      </w:rPr>
    </w:lvl>
    <w:lvl w:ilvl="4" w:tplc="2792632A" w:tentative="1">
      <w:start w:val="1"/>
      <w:numFmt w:val="bullet"/>
      <w:lvlText w:val="•"/>
      <w:lvlJc w:val="left"/>
      <w:pPr>
        <w:tabs>
          <w:tab w:val="num" w:pos="3600"/>
        </w:tabs>
        <w:ind w:left="3600" w:hanging="360"/>
      </w:pPr>
      <w:rPr>
        <w:rFonts w:ascii="Times New Roman" w:hAnsi="Times New Roman" w:hint="default"/>
      </w:rPr>
    </w:lvl>
    <w:lvl w:ilvl="5" w:tplc="D98A40FA" w:tentative="1">
      <w:start w:val="1"/>
      <w:numFmt w:val="bullet"/>
      <w:lvlText w:val="•"/>
      <w:lvlJc w:val="left"/>
      <w:pPr>
        <w:tabs>
          <w:tab w:val="num" w:pos="4320"/>
        </w:tabs>
        <w:ind w:left="4320" w:hanging="360"/>
      </w:pPr>
      <w:rPr>
        <w:rFonts w:ascii="Times New Roman" w:hAnsi="Times New Roman" w:hint="default"/>
      </w:rPr>
    </w:lvl>
    <w:lvl w:ilvl="6" w:tplc="456A42D0" w:tentative="1">
      <w:start w:val="1"/>
      <w:numFmt w:val="bullet"/>
      <w:lvlText w:val="•"/>
      <w:lvlJc w:val="left"/>
      <w:pPr>
        <w:tabs>
          <w:tab w:val="num" w:pos="5040"/>
        </w:tabs>
        <w:ind w:left="5040" w:hanging="360"/>
      </w:pPr>
      <w:rPr>
        <w:rFonts w:ascii="Times New Roman" w:hAnsi="Times New Roman" w:hint="default"/>
      </w:rPr>
    </w:lvl>
    <w:lvl w:ilvl="7" w:tplc="9120F976" w:tentative="1">
      <w:start w:val="1"/>
      <w:numFmt w:val="bullet"/>
      <w:lvlText w:val="•"/>
      <w:lvlJc w:val="left"/>
      <w:pPr>
        <w:tabs>
          <w:tab w:val="num" w:pos="5760"/>
        </w:tabs>
        <w:ind w:left="5760" w:hanging="360"/>
      </w:pPr>
      <w:rPr>
        <w:rFonts w:ascii="Times New Roman" w:hAnsi="Times New Roman" w:hint="default"/>
      </w:rPr>
    </w:lvl>
    <w:lvl w:ilvl="8" w:tplc="DC0C49C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6"/>
  </w:num>
  <w:num w:numId="3">
    <w:abstractNumId w:val="5"/>
  </w:num>
  <w:num w:numId="4">
    <w:abstractNumId w:val="11"/>
  </w:num>
  <w:num w:numId="5">
    <w:abstractNumId w:val="14"/>
  </w:num>
  <w:num w:numId="6">
    <w:abstractNumId w:val="15"/>
  </w:num>
  <w:num w:numId="7">
    <w:abstractNumId w:val="12"/>
  </w:num>
  <w:num w:numId="8">
    <w:abstractNumId w:val="18"/>
  </w:num>
  <w:num w:numId="9">
    <w:abstractNumId w:val="4"/>
  </w:num>
  <w:num w:numId="10">
    <w:abstractNumId w:val="2"/>
  </w:num>
  <w:num w:numId="11">
    <w:abstractNumId w:val="7"/>
  </w:num>
  <w:num w:numId="12">
    <w:abstractNumId w:val="0"/>
  </w:num>
  <w:num w:numId="13">
    <w:abstractNumId w:val="17"/>
  </w:num>
  <w:num w:numId="14">
    <w:abstractNumId w:val="8"/>
  </w:num>
  <w:num w:numId="15">
    <w:abstractNumId w:val="13"/>
  </w:num>
  <w:num w:numId="16">
    <w:abstractNumId w:val="10"/>
  </w:num>
  <w:num w:numId="17">
    <w:abstractNumId w:val="6"/>
  </w:num>
  <w:num w:numId="18">
    <w:abstractNumId w:val="3"/>
  </w:num>
  <w:num w:numId="1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F3"/>
    <w:rsid w:val="00000FC4"/>
    <w:rsid w:val="000059F0"/>
    <w:rsid w:val="00006C45"/>
    <w:rsid w:val="000111C7"/>
    <w:rsid w:val="00013A3F"/>
    <w:rsid w:val="000165C3"/>
    <w:rsid w:val="00021521"/>
    <w:rsid w:val="00033005"/>
    <w:rsid w:val="000349D9"/>
    <w:rsid w:val="00035A57"/>
    <w:rsid w:val="00035BE0"/>
    <w:rsid w:val="00037512"/>
    <w:rsid w:val="00040192"/>
    <w:rsid w:val="00041BA6"/>
    <w:rsid w:val="00042B62"/>
    <w:rsid w:val="00044364"/>
    <w:rsid w:val="00045FB0"/>
    <w:rsid w:val="000462CA"/>
    <w:rsid w:val="0004724D"/>
    <w:rsid w:val="00052011"/>
    <w:rsid w:val="000522F7"/>
    <w:rsid w:val="0005478E"/>
    <w:rsid w:val="0005760A"/>
    <w:rsid w:val="00061C1E"/>
    <w:rsid w:val="00063A00"/>
    <w:rsid w:val="00066694"/>
    <w:rsid w:val="00073816"/>
    <w:rsid w:val="00075705"/>
    <w:rsid w:val="00075CCE"/>
    <w:rsid w:val="000814FE"/>
    <w:rsid w:val="00082FC1"/>
    <w:rsid w:val="00083766"/>
    <w:rsid w:val="0008421F"/>
    <w:rsid w:val="0008709A"/>
    <w:rsid w:val="000872FD"/>
    <w:rsid w:val="0009087E"/>
    <w:rsid w:val="00090B40"/>
    <w:rsid w:val="000961F3"/>
    <w:rsid w:val="000A22CC"/>
    <w:rsid w:val="000A7195"/>
    <w:rsid w:val="000A7ED2"/>
    <w:rsid w:val="000B67E7"/>
    <w:rsid w:val="000B76AA"/>
    <w:rsid w:val="000C3033"/>
    <w:rsid w:val="000C47B1"/>
    <w:rsid w:val="000C67DD"/>
    <w:rsid w:val="000C6AB8"/>
    <w:rsid w:val="000D03D2"/>
    <w:rsid w:val="000D1216"/>
    <w:rsid w:val="000D1682"/>
    <w:rsid w:val="000D6961"/>
    <w:rsid w:val="000D69BC"/>
    <w:rsid w:val="000E0834"/>
    <w:rsid w:val="000E1AEE"/>
    <w:rsid w:val="000E33DA"/>
    <w:rsid w:val="000E519E"/>
    <w:rsid w:val="000E561A"/>
    <w:rsid w:val="000F2016"/>
    <w:rsid w:val="000F216A"/>
    <w:rsid w:val="000F53BB"/>
    <w:rsid w:val="000F66FB"/>
    <w:rsid w:val="000F7839"/>
    <w:rsid w:val="000F7C5B"/>
    <w:rsid w:val="001016B3"/>
    <w:rsid w:val="00102153"/>
    <w:rsid w:val="001032A4"/>
    <w:rsid w:val="00110C81"/>
    <w:rsid w:val="001110D2"/>
    <w:rsid w:val="0011386D"/>
    <w:rsid w:val="001143D0"/>
    <w:rsid w:val="00120A19"/>
    <w:rsid w:val="0012298F"/>
    <w:rsid w:val="00126DF2"/>
    <w:rsid w:val="00132E63"/>
    <w:rsid w:val="001358B5"/>
    <w:rsid w:val="001401F0"/>
    <w:rsid w:val="001409F2"/>
    <w:rsid w:val="00151D6F"/>
    <w:rsid w:val="00152F8D"/>
    <w:rsid w:val="00153954"/>
    <w:rsid w:val="0015676E"/>
    <w:rsid w:val="00157804"/>
    <w:rsid w:val="001621AD"/>
    <w:rsid w:val="0016379A"/>
    <w:rsid w:val="00165348"/>
    <w:rsid w:val="001653E3"/>
    <w:rsid w:val="00175BE3"/>
    <w:rsid w:val="001764BE"/>
    <w:rsid w:val="00180588"/>
    <w:rsid w:val="001805D9"/>
    <w:rsid w:val="00180781"/>
    <w:rsid w:val="00182AD9"/>
    <w:rsid w:val="00182D88"/>
    <w:rsid w:val="0018483F"/>
    <w:rsid w:val="00185777"/>
    <w:rsid w:val="00185D92"/>
    <w:rsid w:val="001915D6"/>
    <w:rsid w:val="00192E7E"/>
    <w:rsid w:val="00193402"/>
    <w:rsid w:val="00194BBE"/>
    <w:rsid w:val="00194D46"/>
    <w:rsid w:val="00195ED1"/>
    <w:rsid w:val="001960DC"/>
    <w:rsid w:val="001A0AD1"/>
    <w:rsid w:val="001A6ECA"/>
    <w:rsid w:val="001B3362"/>
    <w:rsid w:val="001B5FAD"/>
    <w:rsid w:val="001B7C46"/>
    <w:rsid w:val="001C13C5"/>
    <w:rsid w:val="001C1FDC"/>
    <w:rsid w:val="001C5899"/>
    <w:rsid w:val="001D0386"/>
    <w:rsid w:val="001D18C1"/>
    <w:rsid w:val="001D25C6"/>
    <w:rsid w:val="001E2C2B"/>
    <w:rsid w:val="001E589B"/>
    <w:rsid w:val="001F0395"/>
    <w:rsid w:val="001F082E"/>
    <w:rsid w:val="001F08F1"/>
    <w:rsid w:val="001F2A6A"/>
    <w:rsid w:val="001F349F"/>
    <w:rsid w:val="00207227"/>
    <w:rsid w:val="00210411"/>
    <w:rsid w:val="00210F54"/>
    <w:rsid w:val="002209B5"/>
    <w:rsid w:val="00223BFD"/>
    <w:rsid w:val="00227107"/>
    <w:rsid w:val="002353FF"/>
    <w:rsid w:val="0023593A"/>
    <w:rsid w:val="0023683C"/>
    <w:rsid w:val="00237F3A"/>
    <w:rsid w:val="00244048"/>
    <w:rsid w:val="0024453F"/>
    <w:rsid w:val="00245FBE"/>
    <w:rsid w:val="002555F7"/>
    <w:rsid w:val="00264750"/>
    <w:rsid w:val="00265345"/>
    <w:rsid w:val="0026627B"/>
    <w:rsid w:val="002710B7"/>
    <w:rsid w:val="00274E63"/>
    <w:rsid w:val="0028214C"/>
    <w:rsid w:val="00282759"/>
    <w:rsid w:val="0028332A"/>
    <w:rsid w:val="00283CFE"/>
    <w:rsid w:val="00286E54"/>
    <w:rsid w:val="002928C8"/>
    <w:rsid w:val="0029602A"/>
    <w:rsid w:val="00297996"/>
    <w:rsid w:val="002A002C"/>
    <w:rsid w:val="002A6D9B"/>
    <w:rsid w:val="002B05EA"/>
    <w:rsid w:val="002B4958"/>
    <w:rsid w:val="002B49F7"/>
    <w:rsid w:val="002C055D"/>
    <w:rsid w:val="002C1FA7"/>
    <w:rsid w:val="002C25CD"/>
    <w:rsid w:val="002C6633"/>
    <w:rsid w:val="002C668E"/>
    <w:rsid w:val="002C6E6B"/>
    <w:rsid w:val="002D0AA2"/>
    <w:rsid w:val="002D10CE"/>
    <w:rsid w:val="002D3C64"/>
    <w:rsid w:val="002D431E"/>
    <w:rsid w:val="002E32F1"/>
    <w:rsid w:val="002E4556"/>
    <w:rsid w:val="002E7D92"/>
    <w:rsid w:val="002F1674"/>
    <w:rsid w:val="002F1C71"/>
    <w:rsid w:val="00300635"/>
    <w:rsid w:val="00310E42"/>
    <w:rsid w:val="003115A6"/>
    <w:rsid w:val="00315126"/>
    <w:rsid w:val="0031593E"/>
    <w:rsid w:val="00325CC5"/>
    <w:rsid w:val="00330FB2"/>
    <w:rsid w:val="00335163"/>
    <w:rsid w:val="0034007C"/>
    <w:rsid w:val="00345106"/>
    <w:rsid w:val="003501CF"/>
    <w:rsid w:val="0035136A"/>
    <w:rsid w:val="0035285F"/>
    <w:rsid w:val="00353C15"/>
    <w:rsid w:val="0035559C"/>
    <w:rsid w:val="00362058"/>
    <w:rsid w:val="0036536A"/>
    <w:rsid w:val="0036571C"/>
    <w:rsid w:val="00366D7D"/>
    <w:rsid w:val="003714D5"/>
    <w:rsid w:val="00373290"/>
    <w:rsid w:val="003754D2"/>
    <w:rsid w:val="003764DF"/>
    <w:rsid w:val="00377717"/>
    <w:rsid w:val="00382C68"/>
    <w:rsid w:val="003830E8"/>
    <w:rsid w:val="0038666D"/>
    <w:rsid w:val="00395AF0"/>
    <w:rsid w:val="003A503C"/>
    <w:rsid w:val="003A5D30"/>
    <w:rsid w:val="003B0BBE"/>
    <w:rsid w:val="003C2E7C"/>
    <w:rsid w:val="003C5604"/>
    <w:rsid w:val="003C57D7"/>
    <w:rsid w:val="003C5880"/>
    <w:rsid w:val="003C748D"/>
    <w:rsid w:val="003C7864"/>
    <w:rsid w:val="003D239A"/>
    <w:rsid w:val="003D247D"/>
    <w:rsid w:val="003E13D9"/>
    <w:rsid w:val="003E39EC"/>
    <w:rsid w:val="003E5239"/>
    <w:rsid w:val="003E53A4"/>
    <w:rsid w:val="003E5FF0"/>
    <w:rsid w:val="003F05C8"/>
    <w:rsid w:val="003F0A40"/>
    <w:rsid w:val="003F0CF9"/>
    <w:rsid w:val="003F2B77"/>
    <w:rsid w:val="003F37B4"/>
    <w:rsid w:val="003F3BAB"/>
    <w:rsid w:val="003F4224"/>
    <w:rsid w:val="003F6D39"/>
    <w:rsid w:val="003F6E76"/>
    <w:rsid w:val="0040293D"/>
    <w:rsid w:val="00403A1E"/>
    <w:rsid w:val="004061E6"/>
    <w:rsid w:val="00407CE5"/>
    <w:rsid w:val="00412BDA"/>
    <w:rsid w:val="004143D1"/>
    <w:rsid w:val="00414681"/>
    <w:rsid w:val="004159D4"/>
    <w:rsid w:val="00416B16"/>
    <w:rsid w:val="004203AA"/>
    <w:rsid w:val="004356E5"/>
    <w:rsid w:val="00436EF4"/>
    <w:rsid w:val="00440589"/>
    <w:rsid w:val="00441C1F"/>
    <w:rsid w:val="00442BA1"/>
    <w:rsid w:val="00445232"/>
    <w:rsid w:val="004461B7"/>
    <w:rsid w:val="00447E0D"/>
    <w:rsid w:val="00450266"/>
    <w:rsid w:val="00466815"/>
    <w:rsid w:val="0047290A"/>
    <w:rsid w:val="00474650"/>
    <w:rsid w:val="0048477F"/>
    <w:rsid w:val="0048607F"/>
    <w:rsid w:val="004862E0"/>
    <w:rsid w:val="00487DCC"/>
    <w:rsid w:val="00490812"/>
    <w:rsid w:val="00493213"/>
    <w:rsid w:val="00493240"/>
    <w:rsid w:val="00494E33"/>
    <w:rsid w:val="00495B7E"/>
    <w:rsid w:val="004A096F"/>
    <w:rsid w:val="004A1635"/>
    <w:rsid w:val="004A6419"/>
    <w:rsid w:val="004A6434"/>
    <w:rsid w:val="004A6EF1"/>
    <w:rsid w:val="004A78B9"/>
    <w:rsid w:val="004B0A5D"/>
    <w:rsid w:val="004C2083"/>
    <w:rsid w:val="004C47A4"/>
    <w:rsid w:val="004C50DB"/>
    <w:rsid w:val="004C7963"/>
    <w:rsid w:val="004D18EB"/>
    <w:rsid w:val="004D615E"/>
    <w:rsid w:val="004E02EC"/>
    <w:rsid w:val="004E0627"/>
    <w:rsid w:val="004E2C87"/>
    <w:rsid w:val="004E406B"/>
    <w:rsid w:val="004E5848"/>
    <w:rsid w:val="004F1512"/>
    <w:rsid w:val="004F1EC3"/>
    <w:rsid w:val="004F5D3B"/>
    <w:rsid w:val="00501E47"/>
    <w:rsid w:val="00501E76"/>
    <w:rsid w:val="00512074"/>
    <w:rsid w:val="00514EE1"/>
    <w:rsid w:val="00515B10"/>
    <w:rsid w:val="005251DD"/>
    <w:rsid w:val="00527CDF"/>
    <w:rsid w:val="005301BC"/>
    <w:rsid w:val="005303FE"/>
    <w:rsid w:val="00530D31"/>
    <w:rsid w:val="00530E5C"/>
    <w:rsid w:val="005351DE"/>
    <w:rsid w:val="00536A6E"/>
    <w:rsid w:val="005520F3"/>
    <w:rsid w:val="005606D9"/>
    <w:rsid w:val="00561CBB"/>
    <w:rsid w:val="00561D4E"/>
    <w:rsid w:val="005852E3"/>
    <w:rsid w:val="005921BE"/>
    <w:rsid w:val="00597B5E"/>
    <w:rsid w:val="005A0873"/>
    <w:rsid w:val="005A2843"/>
    <w:rsid w:val="005A455A"/>
    <w:rsid w:val="005A4C9D"/>
    <w:rsid w:val="005A5E2F"/>
    <w:rsid w:val="005A7175"/>
    <w:rsid w:val="005B0D7A"/>
    <w:rsid w:val="005B19CE"/>
    <w:rsid w:val="005B7655"/>
    <w:rsid w:val="005D01F9"/>
    <w:rsid w:val="005D67D3"/>
    <w:rsid w:val="005E1514"/>
    <w:rsid w:val="005E5C81"/>
    <w:rsid w:val="005F5945"/>
    <w:rsid w:val="005F7470"/>
    <w:rsid w:val="00602DA1"/>
    <w:rsid w:val="006033AA"/>
    <w:rsid w:val="00604C4E"/>
    <w:rsid w:val="006057E2"/>
    <w:rsid w:val="00610FD7"/>
    <w:rsid w:val="006111E8"/>
    <w:rsid w:val="006229D4"/>
    <w:rsid w:val="0062607E"/>
    <w:rsid w:val="0062618A"/>
    <w:rsid w:val="006267A7"/>
    <w:rsid w:val="00626A62"/>
    <w:rsid w:val="00632247"/>
    <w:rsid w:val="006343A6"/>
    <w:rsid w:val="00640EF8"/>
    <w:rsid w:val="00641414"/>
    <w:rsid w:val="00642B12"/>
    <w:rsid w:val="006500BA"/>
    <w:rsid w:val="006523A5"/>
    <w:rsid w:val="00656CF3"/>
    <w:rsid w:val="00661404"/>
    <w:rsid w:val="006617F0"/>
    <w:rsid w:val="006713D8"/>
    <w:rsid w:val="00671989"/>
    <w:rsid w:val="00672F6A"/>
    <w:rsid w:val="00674B19"/>
    <w:rsid w:val="00677F55"/>
    <w:rsid w:val="0068273A"/>
    <w:rsid w:val="0068282E"/>
    <w:rsid w:val="00682BB4"/>
    <w:rsid w:val="00690D0C"/>
    <w:rsid w:val="00693B41"/>
    <w:rsid w:val="006A5AA6"/>
    <w:rsid w:val="006B059C"/>
    <w:rsid w:val="006B3FF5"/>
    <w:rsid w:val="006C1BB6"/>
    <w:rsid w:val="006C2922"/>
    <w:rsid w:val="006C2996"/>
    <w:rsid w:val="006C6755"/>
    <w:rsid w:val="006D1297"/>
    <w:rsid w:val="006D29AC"/>
    <w:rsid w:val="006E0DFF"/>
    <w:rsid w:val="006E1014"/>
    <w:rsid w:val="006F0644"/>
    <w:rsid w:val="006F66A4"/>
    <w:rsid w:val="00702F73"/>
    <w:rsid w:val="00705DAD"/>
    <w:rsid w:val="007127C8"/>
    <w:rsid w:val="00716F98"/>
    <w:rsid w:val="0071706E"/>
    <w:rsid w:val="0072559C"/>
    <w:rsid w:val="00733C2A"/>
    <w:rsid w:val="00734B49"/>
    <w:rsid w:val="007371FA"/>
    <w:rsid w:val="00737947"/>
    <w:rsid w:val="00737DAA"/>
    <w:rsid w:val="00743E0E"/>
    <w:rsid w:val="00744881"/>
    <w:rsid w:val="00753A37"/>
    <w:rsid w:val="00755F65"/>
    <w:rsid w:val="0075611B"/>
    <w:rsid w:val="00763E5B"/>
    <w:rsid w:val="00764DBF"/>
    <w:rsid w:val="00773C56"/>
    <w:rsid w:val="007744F6"/>
    <w:rsid w:val="00775B9E"/>
    <w:rsid w:val="007762B5"/>
    <w:rsid w:val="0077656A"/>
    <w:rsid w:val="00780611"/>
    <w:rsid w:val="00780F0F"/>
    <w:rsid w:val="0078110F"/>
    <w:rsid w:val="0078359C"/>
    <w:rsid w:val="007862BD"/>
    <w:rsid w:val="0079129C"/>
    <w:rsid w:val="00797555"/>
    <w:rsid w:val="007A01A4"/>
    <w:rsid w:val="007A3AE6"/>
    <w:rsid w:val="007A3AFE"/>
    <w:rsid w:val="007A44CE"/>
    <w:rsid w:val="007A4619"/>
    <w:rsid w:val="007A6B9A"/>
    <w:rsid w:val="007B10C9"/>
    <w:rsid w:val="007B3476"/>
    <w:rsid w:val="007B46A0"/>
    <w:rsid w:val="007B7F09"/>
    <w:rsid w:val="007C22CC"/>
    <w:rsid w:val="007C36A6"/>
    <w:rsid w:val="007C429F"/>
    <w:rsid w:val="007D5052"/>
    <w:rsid w:val="007D7F58"/>
    <w:rsid w:val="007E6451"/>
    <w:rsid w:val="007E6B6E"/>
    <w:rsid w:val="007E7583"/>
    <w:rsid w:val="007F7809"/>
    <w:rsid w:val="007F7922"/>
    <w:rsid w:val="00801782"/>
    <w:rsid w:val="00804CAF"/>
    <w:rsid w:val="008138C7"/>
    <w:rsid w:val="00813EA2"/>
    <w:rsid w:val="0082003C"/>
    <w:rsid w:val="00820479"/>
    <w:rsid w:val="0082286E"/>
    <w:rsid w:val="00825817"/>
    <w:rsid w:val="00832259"/>
    <w:rsid w:val="008332DB"/>
    <w:rsid w:val="00833A5B"/>
    <w:rsid w:val="00833BC5"/>
    <w:rsid w:val="0083623C"/>
    <w:rsid w:val="0083677B"/>
    <w:rsid w:val="00840DCA"/>
    <w:rsid w:val="0084144F"/>
    <w:rsid w:val="0084168E"/>
    <w:rsid w:val="00841D59"/>
    <w:rsid w:val="008445A5"/>
    <w:rsid w:val="00845113"/>
    <w:rsid w:val="00853526"/>
    <w:rsid w:val="00853A00"/>
    <w:rsid w:val="00860A06"/>
    <w:rsid w:val="00860E61"/>
    <w:rsid w:val="00860F63"/>
    <w:rsid w:val="0086613D"/>
    <w:rsid w:val="008732C5"/>
    <w:rsid w:val="008810B0"/>
    <w:rsid w:val="00882D2C"/>
    <w:rsid w:val="0088585C"/>
    <w:rsid w:val="00886C25"/>
    <w:rsid w:val="00886F77"/>
    <w:rsid w:val="008904C4"/>
    <w:rsid w:val="0089092A"/>
    <w:rsid w:val="0089635C"/>
    <w:rsid w:val="00896D4B"/>
    <w:rsid w:val="0089703D"/>
    <w:rsid w:val="008A0779"/>
    <w:rsid w:val="008A1A30"/>
    <w:rsid w:val="008A29DB"/>
    <w:rsid w:val="008A67CD"/>
    <w:rsid w:val="008B15AE"/>
    <w:rsid w:val="008B1663"/>
    <w:rsid w:val="008B3137"/>
    <w:rsid w:val="008B4580"/>
    <w:rsid w:val="008B5F3E"/>
    <w:rsid w:val="008B7338"/>
    <w:rsid w:val="008C23AC"/>
    <w:rsid w:val="008C580A"/>
    <w:rsid w:val="008D13BD"/>
    <w:rsid w:val="008D5B30"/>
    <w:rsid w:val="008D629C"/>
    <w:rsid w:val="008D7064"/>
    <w:rsid w:val="008D7299"/>
    <w:rsid w:val="008E3051"/>
    <w:rsid w:val="008E3AE3"/>
    <w:rsid w:val="008E61FB"/>
    <w:rsid w:val="008E65AF"/>
    <w:rsid w:val="008E667C"/>
    <w:rsid w:val="008F2229"/>
    <w:rsid w:val="008F2455"/>
    <w:rsid w:val="008F2FF6"/>
    <w:rsid w:val="008F45AC"/>
    <w:rsid w:val="008F51BA"/>
    <w:rsid w:val="008F62B1"/>
    <w:rsid w:val="008F7133"/>
    <w:rsid w:val="00901768"/>
    <w:rsid w:val="00901976"/>
    <w:rsid w:val="00905022"/>
    <w:rsid w:val="009059AB"/>
    <w:rsid w:val="00906219"/>
    <w:rsid w:val="00911A18"/>
    <w:rsid w:val="009146E0"/>
    <w:rsid w:val="00916025"/>
    <w:rsid w:val="00917701"/>
    <w:rsid w:val="0092159B"/>
    <w:rsid w:val="00922559"/>
    <w:rsid w:val="00922A29"/>
    <w:rsid w:val="009259E6"/>
    <w:rsid w:val="00925AFF"/>
    <w:rsid w:val="009312D6"/>
    <w:rsid w:val="00932021"/>
    <w:rsid w:val="00933069"/>
    <w:rsid w:val="009345C6"/>
    <w:rsid w:val="00935E41"/>
    <w:rsid w:val="009366B5"/>
    <w:rsid w:val="00936D4A"/>
    <w:rsid w:val="00942871"/>
    <w:rsid w:val="00944403"/>
    <w:rsid w:val="0094469F"/>
    <w:rsid w:val="00954573"/>
    <w:rsid w:val="00954C02"/>
    <w:rsid w:val="00956499"/>
    <w:rsid w:val="00957361"/>
    <w:rsid w:val="0096158C"/>
    <w:rsid w:val="00962224"/>
    <w:rsid w:val="00982347"/>
    <w:rsid w:val="00986498"/>
    <w:rsid w:val="00987AC9"/>
    <w:rsid w:val="009909AE"/>
    <w:rsid w:val="00992149"/>
    <w:rsid w:val="009921F4"/>
    <w:rsid w:val="00993499"/>
    <w:rsid w:val="00997475"/>
    <w:rsid w:val="009B0503"/>
    <w:rsid w:val="009B1542"/>
    <w:rsid w:val="009B40F0"/>
    <w:rsid w:val="009C48E9"/>
    <w:rsid w:val="009D554D"/>
    <w:rsid w:val="009D569A"/>
    <w:rsid w:val="009D74DD"/>
    <w:rsid w:val="009E3409"/>
    <w:rsid w:val="009E54CF"/>
    <w:rsid w:val="009E735F"/>
    <w:rsid w:val="009F1166"/>
    <w:rsid w:val="009F134D"/>
    <w:rsid w:val="009F2A85"/>
    <w:rsid w:val="009F623C"/>
    <w:rsid w:val="009F745B"/>
    <w:rsid w:val="00A062E8"/>
    <w:rsid w:val="00A23E32"/>
    <w:rsid w:val="00A260EA"/>
    <w:rsid w:val="00A26B55"/>
    <w:rsid w:val="00A46808"/>
    <w:rsid w:val="00A47BA6"/>
    <w:rsid w:val="00A5040F"/>
    <w:rsid w:val="00A5501A"/>
    <w:rsid w:val="00A737F9"/>
    <w:rsid w:val="00A74A6A"/>
    <w:rsid w:val="00A761D4"/>
    <w:rsid w:val="00A76966"/>
    <w:rsid w:val="00A77014"/>
    <w:rsid w:val="00A802AD"/>
    <w:rsid w:val="00A80CF4"/>
    <w:rsid w:val="00A825D4"/>
    <w:rsid w:val="00A8324E"/>
    <w:rsid w:val="00A873FF"/>
    <w:rsid w:val="00A87DDE"/>
    <w:rsid w:val="00AA0B0E"/>
    <w:rsid w:val="00AA18CE"/>
    <w:rsid w:val="00AA2277"/>
    <w:rsid w:val="00AA2C6C"/>
    <w:rsid w:val="00AB0074"/>
    <w:rsid w:val="00AB491A"/>
    <w:rsid w:val="00AB4CCE"/>
    <w:rsid w:val="00AB662D"/>
    <w:rsid w:val="00AB7937"/>
    <w:rsid w:val="00AB7D08"/>
    <w:rsid w:val="00AC11EE"/>
    <w:rsid w:val="00AD0521"/>
    <w:rsid w:val="00AD122C"/>
    <w:rsid w:val="00AD6D56"/>
    <w:rsid w:val="00AE5872"/>
    <w:rsid w:val="00AF4DE9"/>
    <w:rsid w:val="00AF7191"/>
    <w:rsid w:val="00B00BD4"/>
    <w:rsid w:val="00B041FF"/>
    <w:rsid w:val="00B07FEF"/>
    <w:rsid w:val="00B1349A"/>
    <w:rsid w:val="00B17F05"/>
    <w:rsid w:val="00B17F2E"/>
    <w:rsid w:val="00B2067A"/>
    <w:rsid w:val="00B327F2"/>
    <w:rsid w:val="00B33EFD"/>
    <w:rsid w:val="00B35E0E"/>
    <w:rsid w:val="00B37699"/>
    <w:rsid w:val="00B4202C"/>
    <w:rsid w:val="00B452E2"/>
    <w:rsid w:val="00B463F6"/>
    <w:rsid w:val="00B5041D"/>
    <w:rsid w:val="00B53526"/>
    <w:rsid w:val="00B53864"/>
    <w:rsid w:val="00B567D0"/>
    <w:rsid w:val="00B57613"/>
    <w:rsid w:val="00B57C7C"/>
    <w:rsid w:val="00B6125C"/>
    <w:rsid w:val="00B6185A"/>
    <w:rsid w:val="00B61E2E"/>
    <w:rsid w:val="00B62B13"/>
    <w:rsid w:val="00B745B8"/>
    <w:rsid w:val="00B7466F"/>
    <w:rsid w:val="00B8229F"/>
    <w:rsid w:val="00B82AB0"/>
    <w:rsid w:val="00B85DDC"/>
    <w:rsid w:val="00B85E88"/>
    <w:rsid w:val="00B86737"/>
    <w:rsid w:val="00B874B9"/>
    <w:rsid w:val="00B904B7"/>
    <w:rsid w:val="00B90DA9"/>
    <w:rsid w:val="00B9378D"/>
    <w:rsid w:val="00B93C45"/>
    <w:rsid w:val="00B94386"/>
    <w:rsid w:val="00B954C4"/>
    <w:rsid w:val="00BA2B57"/>
    <w:rsid w:val="00BA3423"/>
    <w:rsid w:val="00BA5A8C"/>
    <w:rsid w:val="00BA5F2A"/>
    <w:rsid w:val="00BB39D3"/>
    <w:rsid w:val="00BB67AC"/>
    <w:rsid w:val="00BB7E8E"/>
    <w:rsid w:val="00BC230C"/>
    <w:rsid w:val="00BC4973"/>
    <w:rsid w:val="00BC6CA8"/>
    <w:rsid w:val="00BD44EC"/>
    <w:rsid w:val="00BD5359"/>
    <w:rsid w:val="00BE1BCB"/>
    <w:rsid w:val="00BE2BAF"/>
    <w:rsid w:val="00C01215"/>
    <w:rsid w:val="00C064C5"/>
    <w:rsid w:val="00C06AB3"/>
    <w:rsid w:val="00C112B8"/>
    <w:rsid w:val="00C2162A"/>
    <w:rsid w:val="00C23595"/>
    <w:rsid w:val="00C2798E"/>
    <w:rsid w:val="00C31682"/>
    <w:rsid w:val="00C3241A"/>
    <w:rsid w:val="00C34038"/>
    <w:rsid w:val="00C34E3A"/>
    <w:rsid w:val="00C35367"/>
    <w:rsid w:val="00C37B2F"/>
    <w:rsid w:val="00C411BF"/>
    <w:rsid w:val="00C419A6"/>
    <w:rsid w:val="00C43088"/>
    <w:rsid w:val="00C4476F"/>
    <w:rsid w:val="00C51769"/>
    <w:rsid w:val="00C5397F"/>
    <w:rsid w:val="00C57B37"/>
    <w:rsid w:val="00C72D69"/>
    <w:rsid w:val="00C7547E"/>
    <w:rsid w:val="00C8133F"/>
    <w:rsid w:val="00C820C9"/>
    <w:rsid w:val="00C82A25"/>
    <w:rsid w:val="00C85344"/>
    <w:rsid w:val="00C85863"/>
    <w:rsid w:val="00C903DB"/>
    <w:rsid w:val="00C92932"/>
    <w:rsid w:val="00C94F9E"/>
    <w:rsid w:val="00C96FD7"/>
    <w:rsid w:val="00CA709D"/>
    <w:rsid w:val="00CB2795"/>
    <w:rsid w:val="00CB3291"/>
    <w:rsid w:val="00CB3930"/>
    <w:rsid w:val="00CC54EE"/>
    <w:rsid w:val="00CC7487"/>
    <w:rsid w:val="00CD1CED"/>
    <w:rsid w:val="00CD3672"/>
    <w:rsid w:val="00CD684C"/>
    <w:rsid w:val="00CD6B61"/>
    <w:rsid w:val="00CE19FC"/>
    <w:rsid w:val="00CE59A5"/>
    <w:rsid w:val="00CE6ED3"/>
    <w:rsid w:val="00CE7E66"/>
    <w:rsid w:val="00CF741F"/>
    <w:rsid w:val="00D0213A"/>
    <w:rsid w:val="00D11C83"/>
    <w:rsid w:val="00D1493A"/>
    <w:rsid w:val="00D14DCB"/>
    <w:rsid w:val="00D14F45"/>
    <w:rsid w:val="00D15661"/>
    <w:rsid w:val="00D15B3D"/>
    <w:rsid w:val="00D213B0"/>
    <w:rsid w:val="00D22DE1"/>
    <w:rsid w:val="00D23B89"/>
    <w:rsid w:val="00D24FC3"/>
    <w:rsid w:val="00D30492"/>
    <w:rsid w:val="00D32C5C"/>
    <w:rsid w:val="00D33DD9"/>
    <w:rsid w:val="00D33FA3"/>
    <w:rsid w:val="00D34FD3"/>
    <w:rsid w:val="00D35B4F"/>
    <w:rsid w:val="00D427C6"/>
    <w:rsid w:val="00D50E06"/>
    <w:rsid w:val="00D56725"/>
    <w:rsid w:val="00D60AAD"/>
    <w:rsid w:val="00D7017D"/>
    <w:rsid w:val="00D7105F"/>
    <w:rsid w:val="00D71A25"/>
    <w:rsid w:val="00D767AB"/>
    <w:rsid w:val="00D80F5B"/>
    <w:rsid w:val="00D81D54"/>
    <w:rsid w:val="00D81DF0"/>
    <w:rsid w:val="00D82922"/>
    <w:rsid w:val="00D86E8A"/>
    <w:rsid w:val="00D87898"/>
    <w:rsid w:val="00D9166F"/>
    <w:rsid w:val="00D92078"/>
    <w:rsid w:val="00D95061"/>
    <w:rsid w:val="00D95BEA"/>
    <w:rsid w:val="00DA4640"/>
    <w:rsid w:val="00DA4D4E"/>
    <w:rsid w:val="00DA67B9"/>
    <w:rsid w:val="00DB1452"/>
    <w:rsid w:val="00DB213C"/>
    <w:rsid w:val="00DC015F"/>
    <w:rsid w:val="00DC0AA9"/>
    <w:rsid w:val="00DC265C"/>
    <w:rsid w:val="00DC3DB9"/>
    <w:rsid w:val="00DC4679"/>
    <w:rsid w:val="00DC5A0C"/>
    <w:rsid w:val="00DC7D8F"/>
    <w:rsid w:val="00DD5689"/>
    <w:rsid w:val="00DE0758"/>
    <w:rsid w:val="00DE24DD"/>
    <w:rsid w:val="00DE58E4"/>
    <w:rsid w:val="00DF0F2D"/>
    <w:rsid w:val="00DF1B56"/>
    <w:rsid w:val="00DF32CD"/>
    <w:rsid w:val="00DF34B1"/>
    <w:rsid w:val="00DF6F03"/>
    <w:rsid w:val="00E02FF4"/>
    <w:rsid w:val="00E07179"/>
    <w:rsid w:val="00E10436"/>
    <w:rsid w:val="00E14314"/>
    <w:rsid w:val="00E17607"/>
    <w:rsid w:val="00E22475"/>
    <w:rsid w:val="00E3068F"/>
    <w:rsid w:val="00E421B1"/>
    <w:rsid w:val="00E43510"/>
    <w:rsid w:val="00E43E18"/>
    <w:rsid w:val="00E455D1"/>
    <w:rsid w:val="00E4795E"/>
    <w:rsid w:val="00E6080A"/>
    <w:rsid w:val="00E63EB7"/>
    <w:rsid w:val="00E64F4F"/>
    <w:rsid w:val="00E76387"/>
    <w:rsid w:val="00E77070"/>
    <w:rsid w:val="00E82791"/>
    <w:rsid w:val="00E82F5F"/>
    <w:rsid w:val="00E850C4"/>
    <w:rsid w:val="00E85503"/>
    <w:rsid w:val="00E874A8"/>
    <w:rsid w:val="00E940DD"/>
    <w:rsid w:val="00E96A7C"/>
    <w:rsid w:val="00EA51DD"/>
    <w:rsid w:val="00EA5A13"/>
    <w:rsid w:val="00EA7393"/>
    <w:rsid w:val="00EB7A5E"/>
    <w:rsid w:val="00EC3948"/>
    <w:rsid w:val="00EC39F1"/>
    <w:rsid w:val="00EC7017"/>
    <w:rsid w:val="00ED09B7"/>
    <w:rsid w:val="00ED7D96"/>
    <w:rsid w:val="00EE085B"/>
    <w:rsid w:val="00EE111F"/>
    <w:rsid w:val="00EE2BAE"/>
    <w:rsid w:val="00EE4491"/>
    <w:rsid w:val="00EE6846"/>
    <w:rsid w:val="00EF19B3"/>
    <w:rsid w:val="00EF3634"/>
    <w:rsid w:val="00EF4772"/>
    <w:rsid w:val="00EF5340"/>
    <w:rsid w:val="00F02625"/>
    <w:rsid w:val="00F07AEE"/>
    <w:rsid w:val="00F154CA"/>
    <w:rsid w:val="00F16DAE"/>
    <w:rsid w:val="00F16FC8"/>
    <w:rsid w:val="00F26716"/>
    <w:rsid w:val="00F32875"/>
    <w:rsid w:val="00F33C9A"/>
    <w:rsid w:val="00F34297"/>
    <w:rsid w:val="00F42821"/>
    <w:rsid w:val="00F4622D"/>
    <w:rsid w:val="00F46C28"/>
    <w:rsid w:val="00F475D6"/>
    <w:rsid w:val="00F50BFA"/>
    <w:rsid w:val="00F526F1"/>
    <w:rsid w:val="00F53BD7"/>
    <w:rsid w:val="00F56870"/>
    <w:rsid w:val="00F6339C"/>
    <w:rsid w:val="00F65AD5"/>
    <w:rsid w:val="00F6731F"/>
    <w:rsid w:val="00F73032"/>
    <w:rsid w:val="00F737FB"/>
    <w:rsid w:val="00F75E7E"/>
    <w:rsid w:val="00F77D7A"/>
    <w:rsid w:val="00F804E1"/>
    <w:rsid w:val="00F815F1"/>
    <w:rsid w:val="00F8554C"/>
    <w:rsid w:val="00F86DD5"/>
    <w:rsid w:val="00F909C7"/>
    <w:rsid w:val="00F92D91"/>
    <w:rsid w:val="00F93BBE"/>
    <w:rsid w:val="00FA14EF"/>
    <w:rsid w:val="00FA170D"/>
    <w:rsid w:val="00FA18AB"/>
    <w:rsid w:val="00FA1D09"/>
    <w:rsid w:val="00FA218D"/>
    <w:rsid w:val="00FA22E6"/>
    <w:rsid w:val="00FA2486"/>
    <w:rsid w:val="00FA36AA"/>
    <w:rsid w:val="00FA3D2B"/>
    <w:rsid w:val="00FA5530"/>
    <w:rsid w:val="00FA7004"/>
    <w:rsid w:val="00FB0B7B"/>
    <w:rsid w:val="00FB7C15"/>
    <w:rsid w:val="00FB7F90"/>
    <w:rsid w:val="00FC0F39"/>
    <w:rsid w:val="00FC3531"/>
    <w:rsid w:val="00FC39E1"/>
    <w:rsid w:val="00FC7175"/>
    <w:rsid w:val="00FD04AD"/>
    <w:rsid w:val="00FD66C7"/>
    <w:rsid w:val="00FF0CE3"/>
    <w:rsid w:val="00FF0E4D"/>
    <w:rsid w:val="00FF10AC"/>
    <w:rsid w:val="00FF2274"/>
    <w:rsid w:val="00FF53ED"/>
    <w:rsid w:val="00FF6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D7"/>
    <w:rPr>
      <w:rFonts w:ascii="Calibri" w:hAnsi="Calibri"/>
      <w:sz w:val="24"/>
      <w:szCs w:val="24"/>
    </w:rPr>
  </w:style>
  <w:style w:type="paragraph" w:styleId="Heading1">
    <w:name w:val="heading 1"/>
    <w:basedOn w:val="Title"/>
    <w:next w:val="Normal"/>
    <w:link w:val="Heading1Char"/>
    <w:autoRedefine/>
    <w:qFormat/>
    <w:rsid w:val="005B19CE"/>
    <w:pPr>
      <w:outlineLvl w:val="0"/>
    </w:pPr>
  </w:style>
  <w:style w:type="paragraph" w:styleId="Heading2">
    <w:name w:val="heading 2"/>
    <w:basedOn w:val="Normal"/>
    <w:next w:val="Normal"/>
    <w:link w:val="Heading2Char"/>
    <w:autoRedefine/>
    <w:uiPriority w:val="9"/>
    <w:unhideWhenUsed/>
    <w:qFormat/>
    <w:rsid w:val="00FF6F10"/>
    <w:pPr>
      <w:keepNext/>
      <w:keepLines/>
      <w:spacing w:before="60" w:after="60"/>
      <w:outlineLvl w:val="1"/>
    </w:pPr>
    <w:rPr>
      <w:rFonts w:eastAsiaTheme="majorEastAsia" w:cstheme="majorBidi"/>
      <w:b/>
      <w:bCs/>
      <w:color w:val="072B61"/>
      <w:sz w:val="36"/>
      <w:szCs w:val="26"/>
      <w:lang w:eastAsia="en-US"/>
    </w:rPr>
  </w:style>
  <w:style w:type="paragraph" w:styleId="Heading3">
    <w:name w:val="heading 3"/>
    <w:basedOn w:val="Normal"/>
    <w:next w:val="Normal"/>
    <w:link w:val="Heading3Char"/>
    <w:autoRedefine/>
    <w:qFormat/>
    <w:rsid w:val="007744F6"/>
    <w:pPr>
      <w:keepNext/>
      <w:keepLines/>
      <w:spacing w:before="60" w:after="60"/>
      <w:outlineLvl w:val="2"/>
    </w:pPr>
    <w:rPr>
      <w:b/>
      <w:color w:val="000000" w:themeColor="text1"/>
      <w:sz w:val="32"/>
      <w:szCs w:val="36"/>
    </w:rPr>
  </w:style>
  <w:style w:type="paragraph" w:styleId="Heading4">
    <w:name w:val="heading 4"/>
    <w:basedOn w:val="Normal"/>
    <w:next w:val="Normal"/>
    <w:link w:val="Heading4Char"/>
    <w:autoRedefine/>
    <w:unhideWhenUsed/>
    <w:qFormat/>
    <w:rsid w:val="007744F6"/>
    <w:pPr>
      <w:keepNext/>
      <w:keepLines/>
      <w:spacing w:before="60" w:after="60"/>
      <w:outlineLvl w:val="3"/>
    </w:pPr>
    <w:rPr>
      <w:rFonts w:eastAsiaTheme="majorEastAsia" w:cstheme="majorBidi"/>
      <w:b/>
      <w:bCs/>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DAD"/>
    <w:pPr>
      <w:tabs>
        <w:tab w:val="center" w:pos="4513"/>
        <w:tab w:val="right" w:pos="9026"/>
      </w:tabs>
    </w:pPr>
  </w:style>
  <w:style w:type="character" w:customStyle="1" w:styleId="HeaderChar">
    <w:name w:val="Header Char"/>
    <w:basedOn w:val="DefaultParagraphFont"/>
    <w:link w:val="Header"/>
    <w:uiPriority w:val="99"/>
    <w:rsid w:val="00705DAD"/>
    <w:rPr>
      <w:sz w:val="24"/>
      <w:szCs w:val="24"/>
    </w:rPr>
  </w:style>
  <w:style w:type="paragraph" w:styleId="Footer">
    <w:name w:val="footer"/>
    <w:basedOn w:val="Normal"/>
    <w:link w:val="FooterChar"/>
    <w:uiPriority w:val="99"/>
    <w:rsid w:val="00705DAD"/>
    <w:pPr>
      <w:tabs>
        <w:tab w:val="center" w:pos="4513"/>
        <w:tab w:val="right" w:pos="9026"/>
      </w:tabs>
    </w:pPr>
  </w:style>
  <w:style w:type="character" w:customStyle="1" w:styleId="FooterChar">
    <w:name w:val="Footer Char"/>
    <w:basedOn w:val="DefaultParagraphFont"/>
    <w:link w:val="Footer"/>
    <w:uiPriority w:val="99"/>
    <w:rsid w:val="00705DAD"/>
    <w:rPr>
      <w:sz w:val="24"/>
      <w:szCs w:val="24"/>
    </w:rPr>
  </w:style>
  <w:style w:type="character" w:customStyle="1" w:styleId="Heading1Char">
    <w:name w:val="Heading 1 Char"/>
    <w:basedOn w:val="DefaultParagraphFont"/>
    <w:link w:val="Heading1"/>
    <w:rsid w:val="005B19CE"/>
    <w:rPr>
      <w:rFonts w:ascii="Calibri" w:eastAsiaTheme="majorEastAsia" w:hAnsi="Calibri" w:cstheme="majorBidi"/>
      <w:b/>
      <w:color w:val="072B61"/>
      <w:spacing w:val="5"/>
      <w:kern w:val="28"/>
      <w:sz w:val="96"/>
      <w:szCs w:val="52"/>
    </w:rPr>
  </w:style>
  <w:style w:type="paragraph" w:customStyle="1" w:styleId="ContentsHead">
    <w:name w:val="Contents_Head"/>
    <w:basedOn w:val="Normal"/>
    <w:link w:val="ContentsHeadChar"/>
    <w:autoRedefine/>
    <w:qFormat/>
    <w:rsid w:val="00853A00"/>
    <w:pPr>
      <w:spacing w:after="120"/>
    </w:pPr>
    <w:rPr>
      <w:b/>
      <w:color w:val="00A4E4"/>
      <w:sz w:val="40"/>
    </w:rPr>
  </w:style>
  <w:style w:type="character" w:customStyle="1" w:styleId="Heading4Char">
    <w:name w:val="Heading 4 Char"/>
    <w:basedOn w:val="DefaultParagraphFont"/>
    <w:link w:val="Heading4"/>
    <w:rsid w:val="007744F6"/>
    <w:rPr>
      <w:rFonts w:ascii="Calibri" w:eastAsiaTheme="majorEastAsia" w:hAnsi="Calibri" w:cstheme="majorBidi"/>
      <w:b/>
      <w:bCs/>
      <w:iCs/>
      <w:color w:val="000000" w:themeColor="text1"/>
      <w:sz w:val="28"/>
      <w:szCs w:val="24"/>
      <w:u w:val="single"/>
    </w:rPr>
  </w:style>
  <w:style w:type="character" w:styleId="Emphasis">
    <w:name w:val="Emphasis"/>
    <w:basedOn w:val="DefaultParagraphFont"/>
    <w:qFormat/>
    <w:rsid w:val="00D35B4F"/>
    <w:rPr>
      <w:i/>
      <w:iCs/>
    </w:rPr>
  </w:style>
  <w:style w:type="paragraph" w:styleId="ListParagraph">
    <w:name w:val="List Paragraph"/>
    <w:basedOn w:val="Normal"/>
    <w:uiPriority w:val="34"/>
    <w:qFormat/>
    <w:rsid w:val="00B954C4"/>
    <w:pPr>
      <w:ind w:left="720"/>
      <w:contextualSpacing/>
    </w:pPr>
    <w:rPr>
      <w:rFonts w:asciiTheme="minorHAnsi" w:eastAsiaTheme="minorEastAsia" w:hAnsiTheme="minorHAnsi" w:cstheme="minorBidi"/>
      <w:b/>
      <w:lang w:val="en-US" w:eastAsia="en-US"/>
    </w:rPr>
  </w:style>
  <w:style w:type="table" w:styleId="TableGrid">
    <w:name w:val="Table Grid"/>
    <w:basedOn w:val="TableNormal"/>
    <w:uiPriority w:val="59"/>
    <w:rsid w:val="00CE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sHeadChar">
    <w:name w:val="Contents_Head Char"/>
    <w:basedOn w:val="DefaultParagraphFont"/>
    <w:link w:val="ContentsHead"/>
    <w:rsid w:val="00853A00"/>
    <w:rPr>
      <w:rFonts w:ascii="Calibri" w:hAnsi="Calibri"/>
      <w:b/>
      <w:color w:val="00A4E4"/>
      <w:sz w:val="40"/>
      <w:szCs w:val="24"/>
    </w:rPr>
  </w:style>
  <w:style w:type="character" w:styleId="Hyperlink">
    <w:name w:val="Hyperlink"/>
    <w:basedOn w:val="DefaultParagraphFont"/>
    <w:uiPriority w:val="99"/>
    <w:unhideWhenUsed/>
    <w:rsid w:val="00F34297"/>
    <w:rPr>
      <w:color w:val="0000FF" w:themeColor="hyperlink"/>
      <w:u w:val="single"/>
    </w:rPr>
  </w:style>
  <w:style w:type="paragraph" w:styleId="TOC1">
    <w:name w:val="toc 1"/>
    <w:basedOn w:val="Normal"/>
    <w:next w:val="Normal"/>
    <w:autoRedefine/>
    <w:uiPriority w:val="39"/>
    <w:rsid w:val="0034007C"/>
    <w:pPr>
      <w:spacing w:after="100"/>
    </w:pPr>
    <w:rPr>
      <w:color w:val="000000" w:themeColor="text1"/>
      <w:sz w:val="28"/>
    </w:rPr>
  </w:style>
  <w:style w:type="paragraph" w:styleId="TOCHeading">
    <w:name w:val="TOC Heading"/>
    <w:basedOn w:val="Heading1"/>
    <w:next w:val="Normal"/>
    <w:uiPriority w:val="39"/>
    <w:unhideWhenUsed/>
    <w:qFormat/>
    <w:rsid w:val="00185777"/>
    <w:pPr>
      <w:spacing w:before="480" w:after="0" w:line="276" w:lineRule="auto"/>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rsid w:val="00FF6F10"/>
    <w:rPr>
      <w:rFonts w:ascii="Calibri" w:eastAsiaTheme="majorEastAsia" w:hAnsi="Calibri" w:cstheme="majorBidi"/>
      <w:b/>
      <w:bCs/>
      <w:color w:val="072B61"/>
      <w:sz w:val="36"/>
      <w:szCs w:val="26"/>
      <w:lang w:eastAsia="en-US"/>
    </w:rPr>
  </w:style>
  <w:style w:type="character" w:customStyle="1" w:styleId="Heading3Char">
    <w:name w:val="Heading 3 Char"/>
    <w:basedOn w:val="DefaultParagraphFont"/>
    <w:link w:val="Heading3"/>
    <w:rsid w:val="007744F6"/>
    <w:rPr>
      <w:rFonts w:ascii="Calibri" w:hAnsi="Calibri"/>
      <w:b/>
      <w:color w:val="000000" w:themeColor="text1"/>
      <w:sz w:val="32"/>
      <w:szCs w:val="36"/>
    </w:rPr>
  </w:style>
  <w:style w:type="paragraph" w:styleId="TOC2">
    <w:name w:val="toc 2"/>
    <w:basedOn w:val="Normal"/>
    <w:next w:val="Normal"/>
    <w:autoRedefine/>
    <w:uiPriority w:val="39"/>
    <w:rsid w:val="00185777"/>
    <w:pPr>
      <w:spacing w:after="100"/>
      <w:ind w:left="240"/>
    </w:pPr>
    <w:rPr>
      <w:sz w:val="28"/>
    </w:rPr>
  </w:style>
  <w:style w:type="paragraph" w:styleId="Title">
    <w:name w:val="Title"/>
    <w:basedOn w:val="Normal"/>
    <w:next w:val="Normal"/>
    <w:link w:val="TitleChar"/>
    <w:qFormat/>
    <w:rsid w:val="00D7105F"/>
    <w:pPr>
      <w:spacing w:after="300"/>
      <w:contextualSpacing/>
    </w:pPr>
    <w:rPr>
      <w:rFonts w:eastAsiaTheme="majorEastAsia" w:cstheme="majorBidi"/>
      <w:b/>
      <w:color w:val="072B61"/>
      <w:spacing w:val="5"/>
      <w:kern w:val="28"/>
      <w:sz w:val="96"/>
      <w:szCs w:val="52"/>
    </w:rPr>
  </w:style>
  <w:style w:type="character" w:customStyle="1" w:styleId="TitleChar">
    <w:name w:val="Title Char"/>
    <w:basedOn w:val="DefaultParagraphFont"/>
    <w:link w:val="Title"/>
    <w:rsid w:val="00D7105F"/>
    <w:rPr>
      <w:rFonts w:ascii="Calibri" w:eastAsiaTheme="majorEastAsia" w:hAnsi="Calibri" w:cstheme="majorBidi"/>
      <w:b/>
      <w:color w:val="072B61"/>
      <w:spacing w:val="5"/>
      <w:kern w:val="28"/>
      <w:sz w:val="96"/>
      <w:szCs w:val="52"/>
    </w:rPr>
  </w:style>
  <w:style w:type="paragraph" w:customStyle="1" w:styleId="TitleDescip">
    <w:name w:val="Title_Descip"/>
    <w:basedOn w:val="Normal"/>
    <w:link w:val="TitleDescipChar"/>
    <w:qFormat/>
    <w:rsid w:val="009E3409"/>
    <w:rPr>
      <w:b/>
      <w:color w:val="072B61"/>
      <w:sz w:val="36"/>
      <w:szCs w:val="36"/>
    </w:rPr>
  </w:style>
  <w:style w:type="paragraph" w:styleId="TOC3">
    <w:name w:val="toc 3"/>
    <w:basedOn w:val="Normal"/>
    <w:next w:val="Normal"/>
    <w:autoRedefine/>
    <w:uiPriority w:val="39"/>
    <w:rsid w:val="00185777"/>
    <w:pPr>
      <w:spacing w:after="100"/>
      <w:ind w:left="480"/>
    </w:pPr>
    <w:rPr>
      <w:sz w:val="28"/>
    </w:rPr>
  </w:style>
  <w:style w:type="character" w:customStyle="1" w:styleId="TitleDescipChar">
    <w:name w:val="Title_Descip Char"/>
    <w:basedOn w:val="DefaultParagraphFont"/>
    <w:link w:val="TitleDescip"/>
    <w:rsid w:val="009E3409"/>
    <w:rPr>
      <w:rFonts w:ascii="Calibri" w:hAnsi="Calibri"/>
      <w:b/>
      <w:color w:val="072B61"/>
      <w:sz w:val="36"/>
      <w:szCs w:val="36"/>
    </w:rPr>
  </w:style>
  <w:style w:type="paragraph" w:styleId="BalloonText">
    <w:name w:val="Balloon Text"/>
    <w:basedOn w:val="Normal"/>
    <w:link w:val="BalloonTextChar"/>
    <w:rsid w:val="00185777"/>
    <w:rPr>
      <w:rFonts w:ascii="Tahoma" w:hAnsi="Tahoma" w:cs="Tahoma"/>
      <w:sz w:val="16"/>
      <w:szCs w:val="16"/>
    </w:rPr>
  </w:style>
  <w:style w:type="character" w:customStyle="1" w:styleId="BalloonTextChar">
    <w:name w:val="Balloon Text Char"/>
    <w:basedOn w:val="DefaultParagraphFont"/>
    <w:link w:val="BalloonText"/>
    <w:rsid w:val="00185777"/>
    <w:rPr>
      <w:rFonts w:ascii="Tahoma" w:hAnsi="Tahoma" w:cs="Tahoma"/>
      <w:sz w:val="16"/>
      <w:szCs w:val="16"/>
    </w:rPr>
  </w:style>
  <w:style w:type="paragraph" w:styleId="TOC4">
    <w:name w:val="toc 4"/>
    <w:basedOn w:val="Normal"/>
    <w:next w:val="Normal"/>
    <w:autoRedefine/>
    <w:uiPriority w:val="39"/>
    <w:rsid w:val="00185777"/>
    <w:pPr>
      <w:spacing w:after="100"/>
      <w:ind w:left="720"/>
    </w:pPr>
    <w:rPr>
      <w:sz w:val="28"/>
    </w:rPr>
  </w:style>
  <w:style w:type="paragraph" w:customStyle="1" w:styleId="Filename">
    <w:name w:val="Filename"/>
    <w:basedOn w:val="Normal"/>
    <w:link w:val="FilenameChar"/>
    <w:autoRedefine/>
    <w:qFormat/>
    <w:rsid w:val="00B5041D"/>
    <w:rPr>
      <w:noProof/>
      <w:color w:val="FFFFFF" w:themeColor="background1"/>
      <w:sz w:val="20"/>
      <w:szCs w:val="20"/>
    </w:rPr>
  </w:style>
  <w:style w:type="character" w:customStyle="1" w:styleId="FilenameChar">
    <w:name w:val="Filename Char"/>
    <w:basedOn w:val="DefaultParagraphFont"/>
    <w:link w:val="Filename"/>
    <w:rsid w:val="00B5041D"/>
    <w:rPr>
      <w:rFonts w:ascii="Calibri" w:hAnsi="Calibri"/>
      <w:noProof/>
      <w:color w:val="FFFFFF" w:themeColor="background1"/>
    </w:rPr>
  </w:style>
  <w:style w:type="paragraph" w:styleId="EndnoteText">
    <w:name w:val="endnote text"/>
    <w:basedOn w:val="Normal"/>
    <w:link w:val="EndnoteTextChar"/>
    <w:rsid w:val="00407CE5"/>
    <w:rPr>
      <w:sz w:val="20"/>
      <w:szCs w:val="20"/>
    </w:rPr>
  </w:style>
  <w:style w:type="character" w:customStyle="1" w:styleId="EndnoteTextChar">
    <w:name w:val="Endnote Text Char"/>
    <w:basedOn w:val="DefaultParagraphFont"/>
    <w:link w:val="EndnoteText"/>
    <w:rsid w:val="00407CE5"/>
    <w:rPr>
      <w:rFonts w:ascii="Calibri" w:hAnsi="Calibri"/>
    </w:rPr>
  </w:style>
  <w:style w:type="character" w:styleId="EndnoteReference">
    <w:name w:val="endnote reference"/>
    <w:basedOn w:val="DefaultParagraphFont"/>
    <w:uiPriority w:val="99"/>
    <w:rsid w:val="00407CE5"/>
    <w:rPr>
      <w:vertAlign w:val="superscript"/>
    </w:rPr>
  </w:style>
  <w:style w:type="paragraph" w:styleId="FootnoteText">
    <w:name w:val="footnote text"/>
    <w:basedOn w:val="Normal"/>
    <w:link w:val="FootnoteTextChar"/>
    <w:rsid w:val="004D18EB"/>
    <w:rPr>
      <w:sz w:val="20"/>
      <w:szCs w:val="20"/>
    </w:rPr>
  </w:style>
  <w:style w:type="character" w:customStyle="1" w:styleId="FootnoteTextChar">
    <w:name w:val="Footnote Text Char"/>
    <w:basedOn w:val="DefaultParagraphFont"/>
    <w:link w:val="FootnoteText"/>
    <w:rsid w:val="004D18EB"/>
    <w:rPr>
      <w:rFonts w:ascii="Calibri" w:hAnsi="Calibri"/>
    </w:rPr>
  </w:style>
  <w:style w:type="character" w:styleId="FootnoteReference">
    <w:name w:val="footnote reference"/>
    <w:basedOn w:val="DefaultParagraphFont"/>
    <w:uiPriority w:val="99"/>
    <w:rsid w:val="004D18EB"/>
    <w:rPr>
      <w:vertAlign w:val="superscript"/>
    </w:rPr>
  </w:style>
  <w:style w:type="table" w:styleId="LightShading">
    <w:name w:val="Light Shading"/>
    <w:basedOn w:val="TableNormal"/>
    <w:uiPriority w:val="60"/>
    <w:rsid w:val="00FA22E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22DE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D22DE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8B313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rsid w:val="00FA14EF"/>
    <w:rPr>
      <w:rFonts w:cs="Times New Roman"/>
      <w:sz w:val="16"/>
      <w:szCs w:val="16"/>
    </w:rPr>
  </w:style>
  <w:style w:type="paragraph" w:styleId="CommentText">
    <w:name w:val="annotation text"/>
    <w:basedOn w:val="Normal"/>
    <w:link w:val="CommentTextChar"/>
    <w:uiPriority w:val="99"/>
    <w:rsid w:val="00FA14EF"/>
    <w:pPr>
      <w:spacing w:after="160"/>
    </w:pPr>
    <w:rPr>
      <w:color w:val="000000"/>
      <w:spacing w:val="-3"/>
      <w:sz w:val="20"/>
      <w:szCs w:val="20"/>
      <w:lang w:eastAsia="en-US"/>
    </w:rPr>
  </w:style>
  <w:style w:type="character" w:customStyle="1" w:styleId="CommentTextChar">
    <w:name w:val="Comment Text Char"/>
    <w:basedOn w:val="DefaultParagraphFont"/>
    <w:link w:val="CommentText"/>
    <w:uiPriority w:val="99"/>
    <w:rsid w:val="00FA14EF"/>
    <w:rPr>
      <w:rFonts w:ascii="Calibri" w:hAnsi="Calibri"/>
      <w:color w:val="000000"/>
      <w:spacing w:val="-3"/>
      <w:lang w:eastAsia="en-US"/>
    </w:rPr>
  </w:style>
  <w:style w:type="paragraph" w:styleId="NoSpacing">
    <w:name w:val="No Spacing"/>
    <w:uiPriority w:val="1"/>
    <w:qFormat/>
    <w:rsid w:val="00153954"/>
    <w:rPr>
      <w:rFonts w:ascii="Calibri" w:hAnsi="Calibri"/>
      <w:sz w:val="24"/>
      <w:szCs w:val="24"/>
    </w:rPr>
  </w:style>
  <w:style w:type="table" w:customStyle="1" w:styleId="TableGrid1">
    <w:name w:val="Table Grid1"/>
    <w:basedOn w:val="TableNormal"/>
    <w:next w:val="TableGrid"/>
    <w:uiPriority w:val="59"/>
    <w:rsid w:val="003A5D30"/>
    <w:rPr>
      <w:rFonts w:ascii="Calibr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10C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353C15"/>
    <w:pPr>
      <w:spacing w:after="0"/>
    </w:pPr>
    <w:rPr>
      <w:b/>
      <w:bCs/>
      <w:color w:val="auto"/>
      <w:spacing w:val="0"/>
      <w:lang w:eastAsia="en-AU"/>
    </w:rPr>
  </w:style>
  <w:style w:type="character" w:customStyle="1" w:styleId="CommentSubjectChar">
    <w:name w:val="Comment Subject Char"/>
    <w:basedOn w:val="CommentTextChar"/>
    <w:link w:val="CommentSubject"/>
    <w:rsid w:val="00353C15"/>
    <w:rPr>
      <w:rFonts w:ascii="Calibri" w:hAnsi="Calibri"/>
      <w:b/>
      <w:bCs/>
      <w:color w:val="000000"/>
      <w:spacing w:val="-3"/>
      <w:lang w:eastAsia="en-US"/>
    </w:rPr>
  </w:style>
  <w:style w:type="paragraph" w:styleId="NormalWeb">
    <w:name w:val="Normal (Web)"/>
    <w:basedOn w:val="Normal"/>
    <w:rsid w:val="00D14F45"/>
    <w:rPr>
      <w:rFonts w:ascii="Times New Roman" w:hAnsi="Times New Roman"/>
    </w:rPr>
  </w:style>
  <w:style w:type="paragraph" w:customStyle="1" w:styleId="Body">
    <w:name w:val="Body"/>
    <w:basedOn w:val="Normal"/>
    <w:link w:val="BodyChar"/>
    <w:rsid w:val="000D03D2"/>
    <w:pPr>
      <w:spacing w:before="120" w:after="120"/>
    </w:pPr>
    <w:rPr>
      <w:rFonts w:ascii="Verdana" w:hAnsi="Verdana"/>
      <w:sz w:val="20"/>
      <w:szCs w:val="20"/>
      <w:lang w:val="en-GB" w:eastAsia="en-US"/>
    </w:rPr>
  </w:style>
  <w:style w:type="character" w:customStyle="1" w:styleId="BodyChar">
    <w:name w:val="Body Char"/>
    <w:link w:val="Body"/>
    <w:rsid w:val="000D03D2"/>
    <w:rPr>
      <w:rFonts w:ascii="Verdana" w:hAnsi="Verdana"/>
      <w:lang w:val="en-GB" w:eastAsia="en-US"/>
    </w:rPr>
  </w:style>
  <w:style w:type="table" w:styleId="TableClassic2">
    <w:name w:val="Table Classic 2"/>
    <w:basedOn w:val="TableNormal"/>
    <w:rsid w:val="005E151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E151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5E151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Title" w:qFormat="1"/>
    <w:lsdException w:name="Subtitle" w:qFormat="1"/>
    <w:lsdException w:name="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D7"/>
    <w:rPr>
      <w:rFonts w:ascii="Calibri" w:hAnsi="Calibri"/>
      <w:sz w:val="24"/>
      <w:szCs w:val="24"/>
    </w:rPr>
  </w:style>
  <w:style w:type="paragraph" w:styleId="Heading1">
    <w:name w:val="heading 1"/>
    <w:basedOn w:val="Title"/>
    <w:next w:val="Normal"/>
    <w:link w:val="Heading1Char"/>
    <w:autoRedefine/>
    <w:qFormat/>
    <w:rsid w:val="005B19CE"/>
    <w:pPr>
      <w:outlineLvl w:val="0"/>
    </w:pPr>
  </w:style>
  <w:style w:type="paragraph" w:styleId="Heading2">
    <w:name w:val="heading 2"/>
    <w:basedOn w:val="Normal"/>
    <w:next w:val="Normal"/>
    <w:link w:val="Heading2Char"/>
    <w:autoRedefine/>
    <w:uiPriority w:val="9"/>
    <w:unhideWhenUsed/>
    <w:qFormat/>
    <w:rsid w:val="00FF6F10"/>
    <w:pPr>
      <w:keepNext/>
      <w:keepLines/>
      <w:spacing w:before="60" w:after="60"/>
      <w:outlineLvl w:val="1"/>
    </w:pPr>
    <w:rPr>
      <w:rFonts w:eastAsiaTheme="majorEastAsia" w:cstheme="majorBidi"/>
      <w:b/>
      <w:bCs/>
      <w:color w:val="072B61"/>
      <w:sz w:val="36"/>
      <w:szCs w:val="26"/>
      <w:lang w:eastAsia="en-US"/>
    </w:rPr>
  </w:style>
  <w:style w:type="paragraph" w:styleId="Heading3">
    <w:name w:val="heading 3"/>
    <w:basedOn w:val="Normal"/>
    <w:next w:val="Normal"/>
    <w:link w:val="Heading3Char"/>
    <w:autoRedefine/>
    <w:qFormat/>
    <w:rsid w:val="007744F6"/>
    <w:pPr>
      <w:keepNext/>
      <w:keepLines/>
      <w:spacing w:before="60" w:after="60"/>
      <w:outlineLvl w:val="2"/>
    </w:pPr>
    <w:rPr>
      <w:b/>
      <w:color w:val="000000" w:themeColor="text1"/>
      <w:sz w:val="32"/>
      <w:szCs w:val="36"/>
    </w:rPr>
  </w:style>
  <w:style w:type="paragraph" w:styleId="Heading4">
    <w:name w:val="heading 4"/>
    <w:basedOn w:val="Normal"/>
    <w:next w:val="Normal"/>
    <w:link w:val="Heading4Char"/>
    <w:autoRedefine/>
    <w:unhideWhenUsed/>
    <w:qFormat/>
    <w:rsid w:val="007744F6"/>
    <w:pPr>
      <w:keepNext/>
      <w:keepLines/>
      <w:spacing w:before="60" w:after="60"/>
      <w:outlineLvl w:val="3"/>
    </w:pPr>
    <w:rPr>
      <w:rFonts w:eastAsiaTheme="majorEastAsia" w:cstheme="majorBidi"/>
      <w:b/>
      <w:bCs/>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DAD"/>
    <w:pPr>
      <w:tabs>
        <w:tab w:val="center" w:pos="4513"/>
        <w:tab w:val="right" w:pos="9026"/>
      </w:tabs>
    </w:pPr>
  </w:style>
  <w:style w:type="character" w:customStyle="1" w:styleId="HeaderChar">
    <w:name w:val="Header Char"/>
    <w:basedOn w:val="DefaultParagraphFont"/>
    <w:link w:val="Header"/>
    <w:uiPriority w:val="99"/>
    <w:rsid w:val="00705DAD"/>
    <w:rPr>
      <w:sz w:val="24"/>
      <w:szCs w:val="24"/>
    </w:rPr>
  </w:style>
  <w:style w:type="paragraph" w:styleId="Footer">
    <w:name w:val="footer"/>
    <w:basedOn w:val="Normal"/>
    <w:link w:val="FooterChar"/>
    <w:uiPriority w:val="99"/>
    <w:rsid w:val="00705DAD"/>
    <w:pPr>
      <w:tabs>
        <w:tab w:val="center" w:pos="4513"/>
        <w:tab w:val="right" w:pos="9026"/>
      </w:tabs>
    </w:pPr>
  </w:style>
  <w:style w:type="character" w:customStyle="1" w:styleId="FooterChar">
    <w:name w:val="Footer Char"/>
    <w:basedOn w:val="DefaultParagraphFont"/>
    <w:link w:val="Footer"/>
    <w:uiPriority w:val="99"/>
    <w:rsid w:val="00705DAD"/>
    <w:rPr>
      <w:sz w:val="24"/>
      <w:szCs w:val="24"/>
    </w:rPr>
  </w:style>
  <w:style w:type="character" w:customStyle="1" w:styleId="Heading1Char">
    <w:name w:val="Heading 1 Char"/>
    <w:basedOn w:val="DefaultParagraphFont"/>
    <w:link w:val="Heading1"/>
    <w:rsid w:val="005B19CE"/>
    <w:rPr>
      <w:rFonts w:ascii="Calibri" w:eastAsiaTheme="majorEastAsia" w:hAnsi="Calibri" w:cstheme="majorBidi"/>
      <w:b/>
      <w:color w:val="072B61"/>
      <w:spacing w:val="5"/>
      <w:kern w:val="28"/>
      <w:sz w:val="96"/>
      <w:szCs w:val="52"/>
    </w:rPr>
  </w:style>
  <w:style w:type="paragraph" w:customStyle="1" w:styleId="ContentsHead">
    <w:name w:val="Contents_Head"/>
    <w:basedOn w:val="Normal"/>
    <w:link w:val="ContentsHeadChar"/>
    <w:autoRedefine/>
    <w:qFormat/>
    <w:rsid w:val="00853A00"/>
    <w:pPr>
      <w:spacing w:after="120"/>
    </w:pPr>
    <w:rPr>
      <w:b/>
      <w:color w:val="00A4E4"/>
      <w:sz w:val="40"/>
    </w:rPr>
  </w:style>
  <w:style w:type="character" w:customStyle="1" w:styleId="Heading4Char">
    <w:name w:val="Heading 4 Char"/>
    <w:basedOn w:val="DefaultParagraphFont"/>
    <w:link w:val="Heading4"/>
    <w:rsid w:val="007744F6"/>
    <w:rPr>
      <w:rFonts w:ascii="Calibri" w:eastAsiaTheme="majorEastAsia" w:hAnsi="Calibri" w:cstheme="majorBidi"/>
      <w:b/>
      <w:bCs/>
      <w:iCs/>
      <w:color w:val="000000" w:themeColor="text1"/>
      <w:sz w:val="28"/>
      <w:szCs w:val="24"/>
      <w:u w:val="single"/>
    </w:rPr>
  </w:style>
  <w:style w:type="character" w:styleId="Emphasis">
    <w:name w:val="Emphasis"/>
    <w:basedOn w:val="DefaultParagraphFont"/>
    <w:qFormat/>
    <w:rsid w:val="00D35B4F"/>
    <w:rPr>
      <w:i/>
      <w:iCs/>
    </w:rPr>
  </w:style>
  <w:style w:type="paragraph" w:styleId="ListParagraph">
    <w:name w:val="List Paragraph"/>
    <w:basedOn w:val="Normal"/>
    <w:uiPriority w:val="34"/>
    <w:qFormat/>
    <w:rsid w:val="00B954C4"/>
    <w:pPr>
      <w:ind w:left="720"/>
      <w:contextualSpacing/>
    </w:pPr>
    <w:rPr>
      <w:rFonts w:asciiTheme="minorHAnsi" w:eastAsiaTheme="minorEastAsia" w:hAnsiTheme="minorHAnsi" w:cstheme="minorBidi"/>
      <w:b/>
      <w:lang w:val="en-US" w:eastAsia="en-US"/>
    </w:rPr>
  </w:style>
  <w:style w:type="table" w:styleId="TableGrid">
    <w:name w:val="Table Grid"/>
    <w:basedOn w:val="TableNormal"/>
    <w:uiPriority w:val="59"/>
    <w:rsid w:val="00CE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sHeadChar">
    <w:name w:val="Contents_Head Char"/>
    <w:basedOn w:val="DefaultParagraphFont"/>
    <w:link w:val="ContentsHead"/>
    <w:rsid w:val="00853A00"/>
    <w:rPr>
      <w:rFonts w:ascii="Calibri" w:hAnsi="Calibri"/>
      <w:b/>
      <w:color w:val="00A4E4"/>
      <w:sz w:val="40"/>
      <w:szCs w:val="24"/>
    </w:rPr>
  </w:style>
  <w:style w:type="character" w:styleId="Hyperlink">
    <w:name w:val="Hyperlink"/>
    <w:basedOn w:val="DefaultParagraphFont"/>
    <w:uiPriority w:val="99"/>
    <w:unhideWhenUsed/>
    <w:rsid w:val="00F34297"/>
    <w:rPr>
      <w:color w:val="0000FF" w:themeColor="hyperlink"/>
      <w:u w:val="single"/>
    </w:rPr>
  </w:style>
  <w:style w:type="paragraph" w:styleId="TOC1">
    <w:name w:val="toc 1"/>
    <w:basedOn w:val="Normal"/>
    <w:next w:val="Normal"/>
    <w:autoRedefine/>
    <w:uiPriority w:val="39"/>
    <w:rsid w:val="0034007C"/>
    <w:pPr>
      <w:spacing w:after="100"/>
    </w:pPr>
    <w:rPr>
      <w:color w:val="000000" w:themeColor="text1"/>
      <w:sz w:val="28"/>
    </w:rPr>
  </w:style>
  <w:style w:type="paragraph" w:styleId="TOCHeading">
    <w:name w:val="TOC Heading"/>
    <w:basedOn w:val="Heading1"/>
    <w:next w:val="Normal"/>
    <w:uiPriority w:val="39"/>
    <w:unhideWhenUsed/>
    <w:qFormat/>
    <w:rsid w:val="00185777"/>
    <w:pPr>
      <w:spacing w:before="480" w:after="0" w:line="276" w:lineRule="auto"/>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rsid w:val="00FF6F10"/>
    <w:rPr>
      <w:rFonts w:ascii="Calibri" w:eastAsiaTheme="majorEastAsia" w:hAnsi="Calibri" w:cstheme="majorBidi"/>
      <w:b/>
      <w:bCs/>
      <w:color w:val="072B61"/>
      <w:sz w:val="36"/>
      <w:szCs w:val="26"/>
      <w:lang w:eastAsia="en-US"/>
    </w:rPr>
  </w:style>
  <w:style w:type="character" w:customStyle="1" w:styleId="Heading3Char">
    <w:name w:val="Heading 3 Char"/>
    <w:basedOn w:val="DefaultParagraphFont"/>
    <w:link w:val="Heading3"/>
    <w:rsid w:val="007744F6"/>
    <w:rPr>
      <w:rFonts w:ascii="Calibri" w:hAnsi="Calibri"/>
      <w:b/>
      <w:color w:val="000000" w:themeColor="text1"/>
      <w:sz w:val="32"/>
      <w:szCs w:val="36"/>
    </w:rPr>
  </w:style>
  <w:style w:type="paragraph" w:styleId="TOC2">
    <w:name w:val="toc 2"/>
    <w:basedOn w:val="Normal"/>
    <w:next w:val="Normal"/>
    <w:autoRedefine/>
    <w:uiPriority w:val="39"/>
    <w:rsid w:val="00185777"/>
    <w:pPr>
      <w:spacing w:after="100"/>
      <w:ind w:left="240"/>
    </w:pPr>
    <w:rPr>
      <w:sz w:val="28"/>
    </w:rPr>
  </w:style>
  <w:style w:type="paragraph" w:styleId="Title">
    <w:name w:val="Title"/>
    <w:basedOn w:val="Normal"/>
    <w:next w:val="Normal"/>
    <w:link w:val="TitleChar"/>
    <w:qFormat/>
    <w:rsid w:val="00D7105F"/>
    <w:pPr>
      <w:spacing w:after="300"/>
      <w:contextualSpacing/>
    </w:pPr>
    <w:rPr>
      <w:rFonts w:eastAsiaTheme="majorEastAsia" w:cstheme="majorBidi"/>
      <w:b/>
      <w:color w:val="072B61"/>
      <w:spacing w:val="5"/>
      <w:kern w:val="28"/>
      <w:sz w:val="96"/>
      <w:szCs w:val="52"/>
    </w:rPr>
  </w:style>
  <w:style w:type="character" w:customStyle="1" w:styleId="TitleChar">
    <w:name w:val="Title Char"/>
    <w:basedOn w:val="DefaultParagraphFont"/>
    <w:link w:val="Title"/>
    <w:rsid w:val="00D7105F"/>
    <w:rPr>
      <w:rFonts w:ascii="Calibri" w:eastAsiaTheme="majorEastAsia" w:hAnsi="Calibri" w:cstheme="majorBidi"/>
      <w:b/>
      <w:color w:val="072B61"/>
      <w:spacing w:val="5"/>
      <w:kern w:val="28"/>
      <w:sz w:val="96"/>
      <w:szCs w:val="52"/>
    </w:rPr>
  </w:style>
  <w:style w:type="paragraph" w:customStyle="1" w:styleId="TitleDescip">
    <w:name w:val="Title_Descip"/>
    <w:basedOn w:val="Normal"/>
    <w:link w:val="TitleDescipChar"/>
    <w:qFormat/>
    <w:rsid w:val="009E3409"/>
    <w:rPr>
      <w:b/>
      <w:color w:val="072B61"/>
      <w:sz w:val="36"/>
      <w:szCs w:val="36"/>
    </w:rPr>
  </w:style>
  <w:style w:type="paragraph" w:styleId="TOC3">
    <w:name w:val="toc 3"/>
    <w:basedOn w:val="Normal"/>
    <w:next w:val="Normal"/>
    <w:autoRedefine/>
    <w:uiPriority w:val="39"/>
    <w:rsid w:val="00185777"/>
    <w:pPr>
      <w:spacing w:after="100"/>
      <w:ind w:left="480"/>
    </w:pPr>
    <w:rPr>
      <w:sz w:val="28"/>
    </w:rPr>
  </w:style>
  <w:style w:type="character" w:customStyle="1" w:styleId="TitleDescipChar">
    <w:name w:val="Title_Descip Char"/>
    <w:basedOn w:val="DefaultParagraphFont"/>
    <w:link w:val="TitleDescip"/>
    <w:rsid w:val="009E3409"/>
    <w:rPr>
      <w:rFonts w:ascii="Calibri" w:hAnsi="Calibri"/>
      <w:b/>
      <w:color w:val="072B61"/>
      <w:sz w:val="36"/>
      <w:szCs w:val="36"/>
    </w:rPr>
  </w:style>
  <w:style w:type="paragraph" w:styleId="BalloonText">
    <w:name w:val="Balloon Text"/>
    <w:basedOn w:val="Normal"/>
    <w:link w:val="BalloonTextChar"/>
    <w:rsid w:val="00185777"/>
    <w:rPr>
      <w:rFonts w:ascii="Tahoma" w:hAnsi="Tahoma" w:cs="Tahoma"/>
      <w:sz w:val="16"/>
      <w:szCs w:val="16"/>
    </w:rPr>
  </w:style>
  <w:style w:type="character" w:customStyle="1" w:styleId="BalloonTextChar">
    <w:name w:val="Balloon Text Char"/>
    <w:basedOn w:val="DefaultParagraphFont"/>
    <w:link w:val="BalloonText"/>
    <w:rsid w:val="00185777"/>
    <w:rPr>
      <w:rFonts w:ascii="Tahoma" w:hAnsi="Tahoma" w:cs="Tahoma"/>
      <w:sz w:val="16"/>
      <w:szCs w:val="16"/>
    </w:rPr>
  </w:style>
  <w:style w:type="paragraph" w:styleId="TOC4">
    <w:name w:val="toc 4"/>
    <w:basedOn w:val="Normal"/>
    <w:next w:val="Normal"/>
    <w:autoRedefine/>
    <w:uiPriority w:val="39"/>
    <w:rsid w:val="00185777"/>
    <w:pPr>
      <w:spacing w:after="100"/>
      <w:ind w:left="720"/>
    </w:pPr>
    <w:rPr>
      <w:sz w:val="28"/>
    </w:rPr>
  </w:style>
  <w:style w:type="paragraph" w:customStyle="1" w:styleId="Filename">
    <w:name w:val="Filename"/>
    <w:basedOn w:val="Normal"/>
    <w:link w:val="FilenameChar"/>
    <w:autoRedefine/>
    <w:qFormat/>
    <w:rsid w:val="00B5041D"/>
    <w:rPr>
      <w:noProof/>
      <w:color w:val="FFFFFF" w:themeColor="background1"/>
      <w:sz w:val="20"/>
      <w:szCs w:val="20"/>
    </w:rPr>
  </w:style>
  <w:style w:type="character" w:customStyle="1" w:styleId="FilenameChar">
    <w:name w:val="Filename Char"/>
    <w:basedOn w:val="DefaultParagraphFont"/>
    <w:link w:val="Filename"/>
    <w:rsid w:val="00B5041D"/>
    <w:rPr>
      <w:rFonts w:ascii="Calibri" w:hAnsi="Calibri"/>
      <w:noProof/>
      <w:color w:val="FFFFFF" w:themeColor="background1"/>
    </w:rPr>
  </w:style>
  <w:style w:type="paragraph" w:styleId="EndnoteText">
    <w:name w:val="endnote text"/>
    <w:basedOn w:val="Normal"/>
    <w:link w:val="EndnoteTextChar"/>
    <w:rsid w:val="00407CE5"/>
    <w:rPr>
      <w:sz w:val="20"/>
      <w:szCs w:val="20"/>
    </w:rPr>
  </w:style>
  <w:style w:type="character" w:customStyle="1" w:styleId="EndnoteTextChar">
    <w:name w:val="Endnote Text Char"/>
    <w:basedOn w:val="DefaultParagraphFont"/>
    <w:link w:val="EndnoteText"/>
    <w:rsid w:val="00407CE5"/>
    <w:rPr>
      <w:rFonts w:ascii="Calibri" w:hAnsi="Calibri"/>
    </w:rPr>
  </w:style>
  <w:style w:type="character" w:styleId="EndnoteReference">
    <w:name w:val="endnote reference"/>
    <w:basedOn w:val="DefaultParagraphFont"/>
    <w:uiPriority w:val="99"/>
    <w:rsid w:val="00407CE5"/>
    <w:rPr>
      <w:vertAlign w:val="superscript"/>
    </w:rPr>
  </w:style>
  <w:style w:type="paragraph" w:styleId="FootnoteText">
    <w:name w:val="footnote text"/>
    <w:basedOn w:val="Normal"/>
    <w:link w:val="FootnoteTextChar"/>
    <w:rsid w:val="004D18EB"/>
    <w:rPr>
      <w:sz w:val="20"/>
      <w:szCs w:val="20"/>
    </w:rPr>
  </w:style>
  <w:style w:type="character" w:customStyle="1" w:styleId="FootnoteTextChar">
    <w:name w:val="Footnote Text Char"/>
    <w:basedOn w:val="DefaultParagraphFont"/>
    <w:link w:val="FootnoteText"/>
    <w:rsid w:val="004D18EB"/>
    <w:rPr>
      <w:rFonts w:ascii="Calibri" w:hAnsi="Calibri"/>
    </w:rPr>
  </w:style>
  <w:style w:type="character" w:styleId="FootnoteReference">
    <w:name w:val="footnote reference"/>
    <w:basedOn w:val="DefaultParagraphFont"/>
    <w:uiPriority w:val="99"/>
    <w:rsid w:val="004D18EB"/>
    <w:rPr>
      <w:vertAlign w:val="superscript"/>
    </w:rPr>
  </w:style>
  <w:style w:type="table" w:styleId="LightShading">
    <w:name w:val="Light Shading"/>
    <w:basedOn w:val="TableNormal"/>
    <w:uiPriority w:val="60"/>
    <w:rsid w:val="00FA22E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22DE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D22DE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8B3137"/>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rsid w:val="00FA14EF"/>
    <w:rPr>
      <w:rFonts w:cs="Times New Roman"/>
      <w:sz w:val="16"/>
      <w:szCs w:val="16"/>
    </w:rPr>
  </w:style>
  <w:style w:type="paragraph" w:styleId="CommentText">
    <w:name w:val="annotation text"/>
    <w:basedOn w:val="Normal"/>
    <w:link w:val="CommentTextChar"/>
    <w:uiPriority w:val="99"/>
    <w:rsid w:val="00FA14EF"/>
    <w:pPr>
      <w:spacing w:after="160"/>
    </w:pPr>
    <w:rPr>
      <w:color w:val="000000"/>
      <w:spacing w:val="-3"/>
      <w:sz w:val="20"/>
      <w:szCs w:val="20"/>
      <w:lang w:eastAsia="en-US"/>
    </w:rPr>
  </w:style>
  <w:style w:type="character" w:customStyle="1" w:styleId="CommentTextChar">
    <w:name w:val="Comment Text Char"/>
    <w:basedOn w:val="DefaultParagraphFont"/>
    <w:link w:val="CommentText"/>
    <w:uiPriority w:val="99"/>
    <w:rsid w:val="00FA14EF"/>
    <w:rPr>
      <w:rFonts w:ascii="Calibri" w:hAnsi="Calibri"/>
      <w:color w:val="000000"/>
      <w:spacing w:val="-3"/>
      <w:lang w:eastAsia="en-US"/>
    </w:rPr>
  </w:style>
  <w:style w:type="paragraph" w:styleId="NoSpacing">
    <w:name w:val="No Spacing"/>
    <w:uiPriority w:val="1"/>
    <w:qFormat/>
    <w:rsid w:val="00153954"/>
    <w:rPr>
      <w:rFonts w:ascii="Calibri" w:hAnsi="Calibri"/>
      <w:sz w:val="24"/>
      <w:szCs w:val="24"/>
    </w:rPr>
  </w:style>
  <w:style w:type="table" w:customStyle="1" w:styleId="TableGrid1">
    <w:name w:val="Table Grid1"/>
    <w:basedOn w:val="TableNormal"/>
    <w:next w:val="TableGrid"/>
    <w:uiPriority w:val="59"/>
    <w:rsid w:val="003A5D30"/>
    <w:rPr>
      <w:rFonts w:ascii="Calibr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10C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rsid w:val="00353C15"/>
    <w:pPr>
      <w:spacing w:after="0"/>
    </w:pPr>
    <w:rPr>
      <w:b/>
      <w:bCs/>
      <w:color w:val="auto"/>
      <w:spacing w:val="0"/>
      <w:lang w:eastAsia="en-AU"/>
    </w:rPr>
  </w:style>
  <w:style w:type="character" w:customStyle="1" w:styleId="CommentSubjectChar">
    <w:name w:val="Comment Subject Char"/>
    <w:basedOn w:val="CommentTextChar"/>
    <w:link w:val="CommentSubject"/>
    <w:rsid w:val="00353C15"/>
    <w:rPr>
      <w:rFonts w:ascii="Calibri" w:hAnsi="Calibri"/>
      <w:b/>
      <w:bCs/>
      <w:color w:val="000000"/>
      <w:spacing w:val="-3"/>
      <w:lang w:eastAsia="en-US"/>
    </w:rPr>
  </w:style>
  <w:style w:type="paragraph" w:styleId="NormalWeb">
    <w:name w:val="Normal (Web)"/>
    <w:basedOn w:val="Normal"/>
    <w:rsid w:val="00D14F45"/>
    <w:rPr>
      <w:rFonts w:ascii="Times New Roman" w:hAnsi="Times New Roman"/>
    </w:rPr>
  </w:style>
  <w:style w:type="paragraph" w:customStyle="1" w:styleId="Body">
    <w:name w:val="Body"/>
    <w:basedOn w:val="Normal"/>
    <w:link w:val="BodyChar"/>
    <w:rsid w:val="000D03D2"/>
    <w:pPr>
      <w:spacing w:before="120" w:after="120"/>
    </w:pPr>
    <w:rPr>
      <w:rFonts w:ascii="Verdana" w:hAnsi="Verdana"/>
      <w:sz w:val="20"/>
      <w:szCs w:val="20"/>
      <w:lang w:val="en-GB" w:eastAsia="en-US"/>
    </w:rPr>
  </w:style>
  <w:style w:type="character" w:customStyle="1" w:styleId="BodyChar">
    <w:name w:val="Body Char"/>
    <w:link w:val="Body"/>
    <w:rsid w:val="000D03D2"/>
    <w:rPr>
      <w:rFonts w:ascii="Verdana" w:hAnsi="Verdana"/>
      <w:lang w:val="en-GB" w:eastAsia="en-US"/>
    </w:rPr>
  </w:style>
  <w:style w:type="table" w:styleId="TableClassic2">
    <w:name w:val="Table Classic 2"/>
    <w:basedOn w:val="TableNormal"/>
    <w:rsid w:val="005E151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E151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5E151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482">
      <w:bodyDiv w:val="1"/>
      <w:marLeft w:val="0"/>
      <w:marRight w:val="0"/>
      <w:marTop w:val="0"/>
      <w:marBottom w:val="0"/>
      <w:divBdr>
        <w:top w:val="none" w:sz="0" w:space="0" w:color="auto"/>
        <w:left w:val="none" w:sz="0" w:space="0" w:color="auto"/>
        <w:bottom w:val="none" w:sz="0" w:space="0" w:color="auto"/>
        <w:right w:val="none" w:sz="0" w:space="0" w:color="auto"/>
      </w:divBdr>
      <w:divsChild>
        <w:div w:id="957834540">
          <w:marLeft w:val="0"/>
          <w:marRight w:val="0"/>
          <w:marTop w:val="0"/>
          <w:marBottom w:val="0"/>
          <w:divBdr>
            <w:top w:val="none" w:sz="0" w:space="0" w:color="auto"/>
            <w:left w:val="none" w:sz="0" w:space="0" w:color="auto"/>
            <w:bottom w:val="none" w:sz="0" w:space="0" w:color="auto"/>
            <w:right w:val="none" w:sz="0" w:space="0" w:color="auto"/>
          </w:divBdr>
          <w:divsChild>
            <w:div w:id="1121413375">
              <w:marLeft w:val="0"/>
              <w:marRight w:val="0"/>
              <w:marTop w:val="0"/>
              <w:marBottom w:val="0"/>
              <w:divBdr>
                <w:top w:val="none" w:sz="0" w:space="0" w:color="auto"/>
                <w:left w:val="none" w:sz="0" w:space="0" w:color="auto"/>
                <w:bottom w:val="none" w:sz="0" w:space="0" w:color="auto"/>
                <w:right w:val="none" w:sz="0" w:space="0" w:color="auto"/>
              </w:divBdr>
              <w:divsChild>
                <w:div w:id="8559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4342">
      <w:bodyDiv w:val="1"/>
      <w:marLeft w:val="0"/>
      <w:marRight w:val="0"/>
      <w:marTop w:val="0"/>
      <w:marBottom w:val="0"/>
      <w:divBdr>
        <w:top w:val="none" w:sz="0" w:space="0" w:color="auto"/>
        <w:left w:val="none" w:sz="0" w:space="0" w:color="auto"/>
        <w:bottom w:val="none" w:sz="0" w:space="0" w:color="auto"/>
        <w:right w:val="none" w:sz="0" w:space="0" w:color="auto"/>
      </w:divBdr>
      <w:divsChild>
        <w:div w:id="1356270383">
          <w:marLeft w:val="547"/>
          <w:marRight w:val="0"/>
          <w:marTop w:val="0"/>
          <w:marBottom w:val="0"/>
          <w:divBdr>
            <w:top w:val="none" w:sz="0" w:space="0" w:color="auto"/>
            <w:left w:val="none" w:sz="0" w:space="0" w:color="auto"/>
            <w:bottom w:val="none" w:sz="0" w:space="0" w:color="auto"/>
            <w:right w:val="none" w:sz="0" w:space="0" w:color="auto"/>
          </w:divBdr>
        </w:div>
      </w:divsChild>
    </w:div>
    <w:div w:id="177426221">
      <w:bodyDiv w:val="1"/>
      <w:marLeft w:val="0"/>
      <w:marRight w:val="0"/>
      <w:marTop w:val="0"/>
      <w:marBottom w:val="0"/>
      <w:divBdr>
        <w:top w:val="none" w:sz="0" w:space="0" w:color="auto"/>
        <w:left w:val="none" w:sz="0" w:space="0" w:color="auto"/>
        <w:bottom w:val="none" w:sz="0" w:space="0" w:color="auto"/>
        <w:right w:val="none" w:sz="0" w:space="0" w:color="auto"/>
      </w:divBdr>
    </w:div>
    <w:div w:id="280037751">
      <w:bodyDiv w:val="1"/>
      <w:marLeft w:val="0"/>
      <w:marRight w:val="0"/>
      <w:marTop w:val="0"/>
      <w:marBottom w:val="0"/>
      <w:divBdr>
        <w:top w:val="none" w:sz="0" w:space="0" w:color="auto"/>
        <w:left w:val="none" w:sz="0" w:space="0" w:color="auto"/>
        <w:bottom w:val="none" w:sz="0" w:space="0" w:color="auto"/>
        <w:right w:val="none" w:sz="0" w:space="0" w:color="auto"/>
      </w:divBdr>
    </w:div>
    <w:div w:id="320935470">
      <w:bodyDiv w:val="1"/>
      <w:marLeft w:val="0"/>
      <w:marRight w:val="0"/>
      <w:marTop w:val="0"/>
      <w:marBottom w:val="0"/>
      <w:divBdr>
        <w:top w:val="none" w:sz="0" w:space="0" w:color="auto"/>
        <w:left w:val="none" w:sz="0" w:space="0" w:color="auto"/>
        <w:bottom w:val="none" w:sz="0" w:space="0" w:color="auto"/>
        <w:right w:val="none" w:sz="0" w:space="0" w:color="auto"/>
      </w:divBdr>
      <w:divsChild>
        <w:div w:id="1951232899">
          <w:marLeft w:val="0"/>
          <w:marRight w:val="0"/>
          <w:marTop w:val="0"/>
          <w:marBottom w:val="0"/>
          <w:divBdr>
            <w:top w:val="none" w:sz="0" w:space="0" w:color="auto"/>
            <w:left w:val="none" w:sz="0" w:space="0" w:color="auto"/>
            <w:bottom w:val="none" w:sz="0" w:space="0" w:color="auto"/>
            <w:right w:val="none" w:sz="0" w:space="0" w:color="auto"/>
          </w:divBdr>
          <w:divsChild>
            <w:div w:id="1001199163">
              <w:marLeft w:val="0"/>
              <w:marRight w:val="0"/>
              <w:marTop w:val="0"/>
              <w:marBottom w:val="0"/>
              <w:divBdr>
                <w:top w:val="none" w:sz="0" w:space="0" w:color="auto"/>
                <w:left w:val="none" w:sz="0" w:space="0" w:color="auto"/>
                <w:bottom w:val="none" w:sz="0" w:space="0" w:color="auto"/>
                <w:right w:val="none" w:sz="0" w:space="0" w:color="auto"/>
              </w:divBdr>
              <w:divsChild>
                <w:div w:id="176445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79809">
      <w:bodyDiv w:val="1"/>
      <w:marLeft w:val="0"/>
      <w:marRight w:val="0"/>
      <w:marTop w:val="0"/>
      <w:marBottom w:val="0"/>
      <w:divBdr>
        <w:top w:val="none" w:sz="0" w:space="0" w:color="auto"/>
        <w:left w:val="none" w:sz="0" w:space="0" w:color="auto"/>
        <w:bottom w:val="none" w:sz="0" w:space="0" w:color="auto"/>
        <w:right w:val="none" w:sz="0" w:space="0" w:color="auto"/>
      </w:divBdr>
      <w:divsChild>
        <w:div w:id="556431999">
          <w:marLeft w:val="547"/>
          <w:marRight w:val="0"/>
          <w:marTop w:val="0"/>
          <w:marBottom w:val="0"/>
          <w:divBdr>
            <w:top w:val="none" w:sz="0" w:space="0" w:color="auto"/>
            <w:left w:val="none" w:sz="0" w:space="0" w:color="auto"/>
            <w:bottom w:val="none" w:sz="0" w:space="0" w:color="auto"/>
            <w:right w:val="none" w:sz="0" w:space="0" w:color="auto"/>
          </w:divBdr>
        </w:div>
      </w:divsChild>
    </w:div>
    <w:div w:id="422144559">
      <w:bodyDiv w:val="1"/>
      <w:marLeft w:val="0"/>
      <w:marRight w:val="0"/>
      <w:marTop w:val="0"/>
      <w:marBottom w:val="0"/>
      <w:divBdr>
        <w:top w:val="none" w:sz="0" w:space="0" w:color="auto"/>
        <w:left w:val="none" w:sz="0" w:space="0" w:color="auto"/>
        <w:bottom w:val="none" w:sz="0" w:space="0" w:color="auto"/>
        <w:right w:val="none" w:sz="0" w:space="0" w:color="auto"/>
      </w:divBdr>
      <w:divsChild>
        <w:div w:id="1947927126">
          <w:marLeft w:val="0"/>
          <w:marRight w:val="0"/>
          <w:marTop w:val="0"/>
          <w:marBottom w:val="0"/>
          <w:divBdr>
            <w:top w:val="none" w:sz="0" w:space="0" w:color="auto"/>
            <w:left w:val="none" w:sz="0" w:space="0" w:color="auto"/>
            <w:bottom w:val="none" w:sz="0" w:space="0" w:color="auto"/>
            <w:right w:val="none" w:sz="0" w:space="0" w:color="auto"/>
          </w:divBdr>
          <w:divsChild>
            <w:div w:id="396323490">
              <w:marLeft w:val="0"/>
              <w:marRight w:val="0"/>
              <w:marTop w:val="0"/>
              <w:marBottom w:val="0"/>
              <w:divBdr>
                <w:top w:val="none" w:sz="0" w:space="0" w:color="auto"/>
                <w:left w:val="none" w:sz="0" w:space="0" w:color="auto"/>
                <w:bottom w:val="none" w:sz="0" w:space="0" w:color="auto"/>
                <w:right w:val="none" w:sz="0" w:space="0" w:color="auto"/>
              </w:divBdr>
              <w:divsChild>
                <w:div w:id="1384796059">
                  <w:marLeft w:val="-300"/>
                  <w:marRight w:val="0"/>
                  <w:marTop w:val="0"/>
                  <w:marBottom w:val="0"/>
                  <w:divBdr>
                    <w:top w:val="none" w:sz="0" w:space="0" w:color="auto"/>
                    <w:left w:val="none" w:sz="0" w:space="0" w:color="auto"/>
                    <w:bottom w:val="none" w:sz="0" w:space="0" w:color="auto"/>
                    <w:right w:val="none" w:sz="0" w:space="0" w:color="auto"/>
                  </w:divBdr>
                  <w:divsChild>
                    <w:div w:id="2096515836">
                      <w:marLeft w:val="300"/>
                      <w:marRight w:val="0"/>
                      <w:marTop w:val="0"/>
                      <w:marBottom w:val="0"/>
                      <w:divBdr>
                        <w:top w:val="none" w:sz="0" w:space="0" w:color="auto"/>
                        <w:left w:val="none" w:sz="0" w:space="0" w:color="auto"/>
                        <w:bottom w:val="none" w:sz="0" w:space="0" w:color="auto"/>
                        <w:right w:val="none" w:sz="0" w:space="0" w:color="auto"/>
                      </w:divBdr>
                      <w:divsChild>
                        <w:div w:id="813836701">
                          <w:marLeft w:val="0"/>
                          <w:marRight w:val="0"/>
                          <w:marTop w:val="0"/>
                          <w:marBottom w:val="0"/>
                          <w:divBdr>
                            <w:top w:val="none" w:sz="0" w:space="0" w:color="auto"/>
                            <w:left w:val="none" w:sz="0" w:space="0" w:color="auto"/>
                            <w:bottom w:val="none" w:sz="0" w:space="0" w:color="auto"/>
                            <w:right w:val="none" w:sz="0" w:space="0" w:color="auto"/>
                          </w:divBdr>
                          <w:divsChild>
                            <w:div w:id="1911694610">
                              <w:marLeft w:val="0"/>
                              <w:marRight w:val="0"/>
                              <w:marTop w:val="0"/>
                              <w:marBottom w:val="300"/>
                              <w:divBdr>
                                <w:top w:val="none" w:sz="0" w:space="0" w:color="auto"/>
                                <w:left w:val="none" w:sz="0" w:space="0" w:color="auto"/>
                                <w:bottom w:val="none" w:sz="0" w:space="0" w:color="auto"/>
                                <w:right w:val="none" w:sz="0" w:space="0" w:color="auto"/>
                              </w:divBdr>
                              <w:divsChild>
                                <w:div w:id="1318417666">
                                  <w:marLeft w:val="0"/>
                                  <w:marRight w:val="0"/>
                                  <w:marTop w:val="0"/>
                                  <w:marBottom w:val="0"/>
                                  <w:divBdr>
                                    <w:top w:val="none" w:sz="0" w:space="0" w:color="auto"/>
                                    <w:left w:val="none" w:sz="0" w:space="0" w:color="auto"/>
                                    <w:bottom w:val="none" w:sz="0" w:space="0" w:color="auto"/>
                                    <w:right w:val="none" w:sz="0" w:space="0" w:color="auto"/>
                                  </w:divBdr>
                                  <w:divsChild>
                                    <w:div w:id="19168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9615671">
      <w:bodyDiv w:val="1"/>
      <w:marLeft w:val="0"/>
      <w:marRight w:val="0"/>
      <w:marTop w:val="0"/>
      <w:marBottom w:val="0"/>
      <w:divBdr>
        <w:top w:val="none" w:sz="0" w:space="0" w:color="auto"/>
        <w:left w:val="none" w:sz="0" w:space="0" w:color="auto"/>
        <w:bottom w:val="none" w:sz="0" w:space="0" w:color="auto"/>
        <w:right w:val="none" w:sz="0" w:space="0" w:color="auto"/>
      </w:divBdr>
    </w:div>
    <w:div w:id="470295971">
      <w:bodyDiv w:val="1"/>
      <w:marLeft w:val="0"/>
      <w:marRight w:val="0"/>
      <w:marTop w:val="0"/>
      <w:marBottom w:val="0"/>
      <w:divBdr>
        <w:top w:val="none" w:sz="0" w:space="0" w:color="auto"/>
        <w:left w:val="none" w:sz="0" w:space="0" w:color="auto"/>
        <w:bottom w:val="none" w:sz="0" w:space="0" w:color="auto"/>
        <w:right w:val="none" w:sz="0" w:space="0" w:color="auto"/>
      </w:divBdr>
      <w:divsChild>
        <w:div w:id="1452674049">
          <w:marLeft w:val="547"/>
          <w:marRight w:val="0"/>
          <w:marTop w:val="0"/>
          <w:marBottom w:val="0"/>
          <w:divBdr>
            <w:top w:val="none" w:sz="0" w:space="0" w:color="auto"/>
            <w:left w:val="none" w:sz="0" w:space="0" w:color="auto"/>
            <w:bottom w:val="none" w:sz="0" w:space="0" w:color="auto"/>
            <w:right w:val="none" w:sz="0" w:space="0" w:color="auto"/>
          </w:divBdr>
        </w:div>
      </w:divsChild>
    </w:div>
    <w:div w:id="476604252">
      <w:bodyDiv w:val="1"/>
      <w:marLeft w:val="0"/>
      <w:marRight w:val="0"/>
      <w:marTop w:val="0"/>
      <w:marBottom w:val="0"/>
      <w:divBdr>
        <w:top w:val="none" w:sz="0" w:space="0" w:color="auto"/>
        <w:left w:val="none" w:sz="0" w:space="0" w:color="auto"/>
        <w:bottom w:val="none" w:sz="0" w:space="0" w:color="auto"/>
        <w:right w:val="none" w:sz="0" w:space="0" w:color="auto"/>
      </w:divBdr>
      <w:divsChild>
        <w:div w:id="42364346">
          <w:marLeft w:val="0"/>
          <w:marRight w:val="0"/>
          <w:marTop w:val="0"/>
          <w:marBottom w:val="0"/>
          <w:divBdr>
            <w:top w:val="none" w:sz="0" w:space="0" w:color="auto"/>
            <w:left w:val="none" w:sz="0" w:space="0" w:color="auto"/>
            <w:bottom w:val="none" w:sz="0" w:space="0" w:color="auto"/>
            <w:right w:val="none" w:sz="0" w:space="0" w:color="auto"/>
          </w:divBdr>
          <w:divsChild>
            <w:div w:id="913734157">
              <w:marLeft w:val="0"/>
              <w:marRight w:val="0"/>
              <w:marTop w:val="0"/>
              <w:marBottom w:val="0"/>
              <w:divBdr>
                <w:top w:val="none" w:sz="0" w:space="0" w:color="auto"/>
                <w:left w:val="none" w:sz="0" w:space="0" w:color="auto"/>
                <w:bottom w:val="none" w:sz="0" w:space="0" w:color="auto"/>
                <w:right w:val="none" w:sz="0" w:space="0" w:color="auto"/>
              </w:divBdr>
              <w:divsChild>
                <w:div w:id="3283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97194">
      <w:bodyDiv w:val="1"/>
      <w:marLeft w:val="0"/>
      <w:marRight w:val="0"/>
      <w:marTop w:val="0"/>
      <w:marBottom w:val="0"/>
      <w:divBdr>
        <w:top w:val="none" w:sz="0" w:space="0" w:color="auto"/>
        <w:left w:val="none" w:sz="0" w:space="0" w:color="auto"/>
        <w:bottom w:val="none" w:sz="0" w:space="0" w:color="auto"/>
        <w:right w:val="none" w:sz="0" w:space="0" w:color="auto"/>
      </w:divBdr>
      <w:divsChild>
        <w:div w:id="792136278">
          <w:marLeft w:val="547"/>
          <w:marRight w:val="0"/>
          <w:marTop w:val="0"/>
          <w:marBottom w:val="0"/>
          <w:divBdr>
            <w:top w:val="none" w:sz="0" w:space="0" w:color="auto"/>
            <w:left w:val="none" w:sz="0" w:space="0" w:color="auto"/>
            <w:bottom w:val="none" w:sz="0" w:space="0" w:color="auto"/>
            <w:right w:val="none" w:sz="0" w:space="0" w:color="auto"/>
          </w:divBdr>
        </w:div>
      </w:divsChild>
    </w:div>
    <w:div w:id="578905545">
      <w:bodyDiv w:val="1"/>
      <w:marLeft w:val="0"/>
      <w:marRight w:val="0"/>
      <w:marTop w:val="0"/>
      <w:marBottom w:val="0"/>
      <w:divBdr>
        <w:top w:val="none" w:sz="0" w:space="0" w:color="auto"/>
        <w:left w:val="none" w:sz="0" w:space="0" w:color="auto"/>
        <w:bottom w:val="none" w:sz="0" w:space="0" w:color="auto"/>
        <w:right w:val="none" w:sz="0" w:space="0" w:color="auto"/>
      </w:divBdr>
    </w:div>
    <w:div w:id="602884829">
      <w:bodyDiv w:val="1"/>
      <w:marLeft w:val="0"/>
      <w:marRight w:val="0"/>
      <w:marTop w:val="0"/>
      <w:marBottom w:val="0"/>
      <w:divBdr>
        <w:top w:val="none" w:sz="0" w:space="0" w:color="auto"/>
        <w:left w:val="none" w:sz="0" w:space="0" w:color="auto"/>
        <w:bottom w:val="none" w:sz="0" w:space="0" w:color="auto"/>
        <w:right w:val="none" w:sz="0" w:space="0" w:color="auto"/>
      </w:divBdr>
      <w:divsChild>
        <w:div w:id="812213940">
          <w:marLeft w:val="0"/>
          <w:marRight w:val="0"/>
          <w:marTop w:val="0"/>
          <w:marBottom w:val="0"/>
          <w:divBdr>
            <w:top w:val="none" w:sz="0" w:space="0" w:color="auto"/>
            <w:left w:val="none" w:sz="0" w:space="0" w:color="auto"/>
            <w:bottom w:val="none" w:sz="0" w:space="0" w:color="auto"/>
            <w:right w:val="none" w:sz="0" w:space="0" w:color="auto"/>
          </w:divBdr>
          <w:divsChild>
            <w:div w:id="772091925">
              <w:marLeft w:val="0"/>
              <w:marRight w:val="0"/>
              <w:marTop w:val="0"/>
              <w:marBottom w:val="0"/>
              <w:divBdr>
                <w:top w:val="none" w:sz="0" w:space="0" w:color="auto"/>
                <w:left w:val="none" w:sz="0" w:space="0" w:color="auto"/>
                <w:bottom w:val="none" w:sz="0" w:space="0" w:color="auto"/>
                <w:right w:val="none" w:sz="0" w:space="0" w:color="auto"/>
              </w:divBdr>
              <w:divsChild>
                <w:div w:id="4512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87706">
      <w:bodyDiv w:val="1"/>
      <w:marLeft w:val="0"/>
      <w:marRight w:val="0"/>
      <w:marTop w:val="0"/>
      <w:marBottom w:val="0"/>
      <w:divBdr>
        <w:top w:val="none" w:sz="0" w:space="0" w:color="auto"/>
        <w:left w:val="none" w:sz="0" w:space="0" w:color="auto"/>
        <w:bottom w:val="none" w:sz="0" w:space="0" w:color="auto"/>
        <w:right w:val="none" w:sz="0" w:space="0" w:color="auto"/>
      </w:divBdr>
      <w:divsChild>
        <w:div w:id="2001695777">
          <w:marLeft w:val="547"/>
          <w:marRight w:val="0"/>
          <w:marTop w:val="0"/>
          <w:marBottom w:val="0"/>
          <w:divBdr>
            <w:top w:val="none" w:sz="0" w:space="0" w:color="auto"/>
            <w:left w:val="none" w:sz="0" w:space="0" w:color="auto"/>
            <w:bottom w:val="none" w:sz="0" w:space="0" w:color="auto"/>
            <w:right w:val="none" w:sz="0" w:space="0" w:color="auto"/>
          </w:divBdr>
        </w:div>
      </w:divsChild>
    </w:div>
    <w:div w:id="952319573">
      <w:bodyDiv w:val="1"/>
      <w:marLeft w:val="0"/>
      <w:marRight w:val="0"/>
      <w:marTop w:val="0"/>
      <w:marBottom w:val="0"/>
      <w:divBdr>
        <w:top w:val="none" w:sz="0" w:space="0" w:color="auto"/>
        <w:left w:val="none" w:sz="0" w:space="0" w:color="auto"/>
        <w:bottom w:val="none" w:sz="0" w:space="0" w:color="auto"/>
        <w:right w:val="none" w:sz="0" w:space="0" w:color="auto"/>
      </w:divBdr>
    </w:div>
    <w:div w:id="1065446648">
      <w:bodyDiv w:val="1"/>
      <w:marLeft w:val="0"/>
      <w:marRight w:val="0"/>
      <w:marTop w:val="0"/>
      <w:marBottom w:val="0"/>
      <w:divBdr>
        <w:top w:val="none" w:sz="0" w:space="0" w:color="auto"/>
        <w:left w:val="none" w:sz="0" w:space="0" w:color="auto"/>
        <w:bottom w:val="none" w:sz="0" w:space="0" w:color="auto"/>
        <w:right w:val="none" w:sz="0" w:space="0" w:color="auto"/>
      </w:divBdr>
    </w:div>
    <w:div w:id="1099176347">
      <w:marLeft w:val="0"/>
      <w:marRight w:val="0"/>
      <w:marTop w:val="0"/>
      <w:marBottom w:val="0"/>
      <w:divBdr>
        <w:top w:val="none" w:sz="0" w:space="0" w:color="auto"/>
        <w:left w:val="none" w:sz="0" w:space="0" w:color="auto"/>
        <w:bottom w:val="none" w:sz="0" w:space="0" w:color="auto"/>
        <w:right w:val="none" w:sz="0" w:space="0" w:color="auto"/>
      </w:divBdr>
      <w:divsChild>
        <w:div w:id="1826974265">
          <w:marLeft w:val="0"/>
          <w:marRight w:val="0"/>
          <w:marTop w:val="0"/>
          <w:marBottom w:val="0"/>
          <w:divBdr>
            <w:top w:val="none" w:sz="0" w:space="0" w:color="auto"/>
            <w:left w:val="none" w:sz="0" w:space="0" w:color="auto"/>
            <w:bottom w:val="none" w:sz="0" w:space="0" w:color="auto"/>
            <w:right w:val="none" w:sz="0" w:space="0" w:color="auto"/>
          </w:divBdr>
          <w:divsChild>
            <w:div w:id="364521527">
              <w:marLeft w:val="0"/>
              <w:marRight w:val="0"/>
              <w:marTop w:val="0"/>
              <w:marBottom w:val="0"/>
              <w:divBdr>
                <w:top w:val="none" w:sz="0" w:space="0" w:color="auto"/>
                <w:left w:val="none" w:sz="0" w:space="0" w:color="auto"/>
                <w:bottom w:val="none" w:sz="0" w:space="0" w:color="auto"/>
                <w:right w:val="none" w:sz="0" w:space="0" w:color="auto"/>
              </w:divBdr>
              <w:divsChild>
                <w:div w:id="1242568166">
                  <w:marLeft w:val="0"/>
                  <w:marRight w:val="0"/>
                  <w:marTop w:val="0"/>
                  <w:marBottom w:val="0"/>
                  <w:divBdr>
                    <w:top w:val="none" w:sz="0" w:space="0" w:color="auto"/>
                    <w:left w:val="none" w:sz="0" w:space="0" w:color="auto"/>
                    <w:bottom w:val="none" w:sz="0" w:space="0" w:color="auto"/>
                    <w:right w:val="none" w:sz="0" w:space="0" w:color="auto"/>
                  </w:divBdr>
                  <w:divsChild>
                    <w:div w:id="1505128671">
                      <w:marLeft w:val="0"/>
                      <w:marRight w:val="0"/>
                      <w:marTop w:val="0"/>
                      <w:marBottom w:val="0"/>
                      <w:divBdr>
                        <w:top w:val="none" w:sz="0" w:space="0" w:color="auto"/>
                        <w:left w:val="none" w:sz="0" w:space="0" w:color="auto"/>
                        <w:bottom w:val="none" w:sz="0" w:space="0" w:color="auto"/>
                        <w:right w:val="none" w:sz="0" w:space="0" w:color="auto"/>
                      </w:divBdr>
                      <w:divsChild>
                        <w:div w:id="1276522758">
                          <w:marLeft w:val="-18913"/>
                          <w:marRight w:val="-18913"/>
                          <w:marTop w:val="0"/>
                          <w:marBottom w:val="405"/>
                          <w:divBdr>
                            <w:top w:val="none" w:sz="0" w:space="0" w:color="auto"/>
                            <w:left w:val="none" w:sz="0" w:space="0" w:color="auto"/>
                            <w:bottom w:val="none" w:sz="0" w:space="0" w:color="auto"/>
                            <w:right w:val="none" w:sz="0" w:space="0" w:color="auto"/>
                          </w:divBdr>
                          <w:divsChild>
                            <w:div w:id="1866477857">
                              <w:marLeft w:val="0"/>
                              <w:marRight w:val="0"/>
                              <w:marTop w:val="0"/>
                              <w:marBottom w:val="0"/>
                              <w:divBdr>
                                <w:top w:val="none" w:sz="0" w:space="0" w:color="auto"/>
                                <w:left w:val="none" w:sz="0" w:space="0" w:color="auto"/>
                                <w:bottom w:val="none" w:sz="0" w:space="0" w:color="auto"/>
                                <w:right w:val="none" w:sz="0" w:space="0" w:color="auto"/>
                              </w:divBdr>
                              <w:divsChild>
                                <w:div w:id="1272593578">
                                  <w:marLeft w:val="0"/>
                                  <w:marRight w:val="0"/>
                                  <w:marTop w:val="0"/>
                                  <w:marBottom w:val="0"/>
                                  <w:divBdr>
                                    <w:top w:val="none" w:sz="0" w:space="0" w:color="auto"/>
                                    <w:left w:val="none" w:sz="0" w:space="0" w:color="auto"/>
                                    <w:bottom w:val="none" w:sz="0" w:space="0" w:color="auto"/>
                                    <w:right w:val="none" w:sz="0" w:space="0" w:color="auto"/>
                                  </w:divBdr>
                                  <w:divsChild>
                                    <w:div w:id="1707561515">
                                      <w:marLeft w:val="30"/>
                                      <w:marRight w:val="0"/>
                                      <w:marTop w:val="0"/>
                                      <w:marBottom w:val="0"/>
                                      <w:divBdr>
                                        <w:top w:val="none" w:sz="0" w:space="0" w:color="auto"/>
                                        <w:left w:val="none" w:sz="0" w:space="0" w:color="auto"/>
                                        <w:bottom w:val="none" w:sz="0" w:space="0" w:color="auto"/>
                                        <w:right w:val="none" w:sz="0" w:space="0" w:color="auto"/>
                                      </w:divBdr>
                                      <w:divsChild>
                                        <w:div w:id="1019042284">
                                          <w:marLeft w:val="0"/>
                                          <w:marRight w:val="0"/>
                                          <w:marTop w:val="0"/>
                                          <w:marBottom w:val="0"/>
                                          <w:divBdr>
                                            <w:top w:val="none" w:sz="0" w:space="0" w:color="auto"/>
                                            <w:left w:val="none" w:sz="0" w:space="0" w:color="auto"/>
                                            <w:bottom w:val="none" w:sz="0" w:space="0" w:color="auto"/>
                                            <w:right w:val="none" w:sz="0" w:space="0" w:color="auto"/>
                                          </w:divBdr>
                                          <w:divsChild>
                                            <w:div w:id="8036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1848525">
      <w:bodyDiv w:val="1"/>
      <w:marLeft w:val="0"/>
      <w:marRight w:val="0"/>
      <w:marTop w:val="0"/>
      <w:marBottom w:val="0"/>
      <w:divBdr>
        <w:top w:val="none" w:sz="0" w:space="0" w:color="auto"/>
        <w:left w:val="none" w:sz="0" w:space="0" w:color="auto"/>
        <w:bottom w:val="none" w:sz="0" w:space="0" w:color="auto"/>
        <w:right w:val="none" w:sz="0" w:space="0" w:color="auto"/>
      </w:divBdr>
      <w:divsChild>
        <w:div w:id="1727988207">
          <w:marLeft w:val="547"/>
          <w:marRight w:val="0"/>
          <w:marTop w:val="0"/>
          <w:marBottom w:val="0"/>
          <w:divBdr>
            <w:top w:val="none" w:sz="0" w:space="0" w:color="auto"/>
            <w:left w:val="none" w:sz="0" w:space="0" w:color="auto"/>
            <w:bottom w:val="none" w:sz="0" w:space="0" w:color="auto"/>
            <w:right w:val="none" w:sz="0" w:space="0" w:color="auto"/>
          </w:divBdr>
        </w:div>
      </w:divsChild>
    </w:div>
    <w:div w:id="1195004628">
      <w:bodyDiv w:val="1"/>
      <w:marLeft w:val="0"/>
      <w:marRight w:val="0"/>
      <w:marTop w:val="0"/>
      <w:marBottom w:val="0"/>
      <w:divBdr>
        <w:top w:val="none" w:sz="0" w:space="0" w:color="auto"/>
        <w:left w:val="none" w:sz="0" w:space="0" w:color="auto"/>
        <w:bottom w:val="none" w:sz="0" w:space="0" w:color="auto"/>
        <w:right w:val="none" w:sz="0" w:space="0" w:color="auto"/>
      </w:divBdr>
      <w:divsChild>
        <w:div w:id="1384713475">
          <w:marLeft w:val="0"/>
          <w:marRight w:val="0"/>
          <w:marTop w:val="0"/>
          <w:marBottom w:val="0"/>
          <w:divBdr>
            <w:top w:val="none" w:sz="0" w:space="0" w:color="auto"/>
            <w:left w:val="none" w:sz="0" w:space="0" w:color="auto"/>
            <w:bottom w:val="none" w:sz="0" w:space="0" w:color="auto"/>
            <w:right w:val="none" w:sz="0" w:space="0" w:color="auto"/>
          </w:divBdr>
          <w:divsChild>
            <w:div w:id="1043678352">
              <w:marLeft w:val="0"/>
              <w:marRight w:val="0"/>
              <w:marTop w:val="0"/>
              <w:marBottom w:val="0"/>
              <w:divBdr>
                <w:top w:val="none" w:sz="0" w:space="0" w:color="auto"/>
                <w:left w:val="none" w:sz="0" w:space="0" w:color="auto"/>
                <w:bottom w:val="none" w:sz="0" w:space="0" w:color="auto"/>
                <w:right w:val="none" w:sz="0" w:space="0" w:color="auto"/>
              </w:divBdr>
              <w:divsChild>
                <w:div w:id="11741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9270">
      <w:bodyDiv w:val="1"/>
      <w:marLeft w:val="0"/>
      <w:marRight w:val="0"/>
      <w:marTop w:val="0"/>
      <w:marBottom w:val="0"/>
      <w:divBdr>
        <w:top w:val="none" w:sz="0" w:space="0" w:color="auto"/>
        <w:left w:val="none" w:sz="0" w:space="0" w:color="auto"/>
        <w:bottom w:val="none" w:sz="0" w:space="0" w:color="auto"/>
        <w:right w:val="none" w:sz="0" w:space="0" w:color="auto"/>
      </w:divBdr>
    </w:div>
    <w:div w:id="1271743373">
      <w:bodyDiv w:val="1"/>
      <w:marLeft w:val="0"/>
      <w:marRight w:val="0"/>
      <w:marTop w:val="0"/>
      <w:marBottom w:val="0"/>
      <w:divBdr>
        <w:top w:val="none" w:sz="0" w:space="0" w:color="auto"/>
        <w:left w:val="none" w:sz="0" w:space="0" w:color="auto"/>
        <w:bottom w:val="none" w:sz="0" w:space="0" w:color="auto"/>
        <w:right w:val="none" w:sz="0" w:space="0" w:color="auto"/>
      </w:divBdr>
      <w:divsChild>
        <w:div w:id="1701123462">
          <w:marLeft w:val="547"/>
          <w:marRight w:val="0"/>
          <w:marTop w:val="0"/>
          <w:marBottom w:val="0"/>
          <w:divBdr>
            <w:top w:val="none" w:sz="0" w:space="0" w:color="auto"/>
            <w:left w:val="none" w:sz="0" w:space="0" w:color="auto"/>
            <w:bottom w:val="none" w:sz="0" w:space="0" w:color="auto"/>
            <w:right w:val="none" w:sz="0" w:space="0" w:color="auto"/>
          </w:divBdr>
        </w:div>
      </w:divsChild>
    </w:div>
    <w:div w:id="1328631024">
      <w:bodyDiv w:val="1"/>
      <w:marLeft w:val="0"/>
      <w:marRight w:val="0"/>
      <w:marTop w:val="0"/>
      <w:marBottom w:val="0"/>
      <w:divBdr>
        <w:top w:val="none" w:sz="0" w:space="0" w:color="auto"/>
        <w:left w:val="none" w:sz="0" w:space="0" w:color="auto"/>
        <w:bottom w:val="none" w:sz="0" w:space="0" w:color="auto"/>
        <w:right w:val="none" w:sz="0" w:space="0" w:color="auto"/>
      </w:divBdr>
    </w:div>
    <w:div w:id="1442384499">
      <w:bodyDiv w:val="1"/>
      <w:marLeft w:val="0"/>
      <w:marRight w:val="0"/>
      <w:marTop w:val="0"/>
      <w:marBottom w:val="0"/>
      <w:divBdr>
        <w:top w:val="none" w:sz="0" w:space="0" w:color="auto"/>
        <w:left w:val="none" w:sz="0" w:space="0" w:color="auto"/>
        <w:bottom w:val="none" w:sz="0" w:space="0" w:color="auto"/>
        <w:right w:val="none" w:sz="0" w:space="0" w:color="auto"/>
      </w:divBdr>
    </w:div>
    <w:div w:id="1523930364">
      <w:bodyDiv w:val="1"/>
      <w:marLeft w:val="0"/>
      <w:marRight w:val="0"/>
      <w:marTop w:val="0"/>
      <w:marBottom w:val="0"/>
      <w:divBdr>
        <w:top w:val="none" w:sz="0" w:space="0" w:color="auto"/>
        <w:left w:val="none" w:sz="0" w:space="0" w:color="auto"/>
        <w:bottom w:val="none" w:sz="0" w:space="0" w:color="auto"/>
        <w:right w:val="none" w:sz="0" w:space="0" w:color="auto"/>
      </w:divBdr>
    </w:div>
    <w:div w:id="1602176611">
      <w:bodyDiv w:val="1"/>
      <w:marLeft w:val="0"/>
      <w:marRight w:val="0"/>
      <w:marTop w:val="0"/>
      <w:marBottom w:val="0"/>
      <w:divBdr>
        <w:top w:val="none" w:sz="0" w:space="0" w:color="auto"/>
        <w:left w:val="none" w:sz="0" w:space="0" w:color="auto"/>
        <w:bottom w:val="none" w:sz="0" w:space="0" w:color="auto"/>
        <w:right w:val="none" w:sz="0" w:space="0" w:color="auto"/>
      </w:divBdr>
      <w:divsChild>
        <w:div w:id="311058188">
          <w:marLeft w:val="547"/>
          <w:marRight w:val="0"/>
          <w:marTop w:val="0"/>
          <w:marBottom w:val="0"/>
          <w:divBdr>
            <w:top w:val="none" w:sz="0" w:space="0" w:color="auto"/>
            <w:left w:val="none" w:sz="0" w:space="0" w:color="auto"/>
            <w:bottom w:val="none" w:sz="0" w:space="0" w:color="auto"/>
            <w:right w:val="none" w:sz="0" w:space="0" w:color="auto"/>
          </w:divBdr>
        </w:div>
        <w:div w:id="846865656">
          <w:marLeft w:val="547"/>
          <w:marRight w:val="0"/>
          <w:marTop w:val="0"/>
          <w:marBottom w:val="0"/>
          <w:divBdr>
            <w:top w:val="none" w:sz="0" w:space="0" w:color="auto"/>
            <w:left w:val="none" w:sz="0" w:space="0" w:color="auto"/>
            <w:bottom w:val="none" w:sz="0" w:space="0" w:color="auto"/>
            <w:right w:val="none" w:sz="0" w:space="0" w:color="auto"/>
          </w:divBdr>
        </w:div>
      </w:divsChild>
    </w:div>
    <w:div w:id="1607495193">
      <w:bodyDiv w:val="1"/>
      <w:marLeft w:val="0"/>
      <w:marRight w:val="0"/>
      <w:marTop w:val="0"/>
      <w:marBottom w:val="0"/>
      <w:divBdr>
        <w:top w:val="none" w:sz="0" w:space="0" w:color="auto"/>
        <w:left w:val="none" w:sz="0" w:space="0" w:color="auto"/>
        <w:bottom w:val="none" w:sz="0" w:space="0" w:color="auto"/>
        <w:right w:val="none" w:sz="0" w:space="0" w:color="auto"/>
      </w:divBdr>
    </w:div>
    <w:div w:id="1663703240">
      <w:bodyDiv w:val="1"/>
      <w:marLeft w:val="0"/>
      <w:marRight w:val="0"/>
      <w:marTop w:val="0"/>
      <w:marBottom w:val="0"/>
      <w:divBdr>
        <w:top w:val="none" w:sz="0" w:space="0" w:color="auto"/>
        <w:left w:val="none" w:sz="0" w:space="0" w:color="auto"/>
        <w:bottom w:val="none" w:sz="0" w:space="0" w:color="auto"/>
        <w:right w:val="none" w:sz="0" w:space="0" w:color="auto"/>
      </w:divBdr>
      <w:divsChild>
        <w:div w:id="1085423600">
          <w:marLeft w:val="547"/>
          <w:marRight w:val="0"/>
          <w:marTop w:val="0"/>
          <w:marBottom w:val="0"/>
          <w:divBdr>
            <w:top w:val="none" w:sz="0" w:space="0" w:color="auto"/>
            <w:left w:val="none" w:sz="0" w:space="0" w:color="auto"/>
            <w:bottom w:val="none" w:sz="0" w:space="0" w:color="auto"/>
            <w:right w:val="none" w:sz="0" w:space="0" w:color="auto"/>
          </w:divBdr>
        </w:div>
      </w:divsChild>
    </w:div>
    <w:div w:id="1676422291">
      <w:bodyDiv w:val="1"/>
      <w:marLeft w:val="0"/>
      <w:marRight w:val="0"/>
      <w:marTop w:val="0"/>
      <w:marBottom w:val="0"/>
      <w:divBdr>
        <w:top w:val="none" w:sz="0" w:space="0" w:color="auto"/>
        <w:left w:val="none" w:sz="0" w:space="0" w:color="auto"/>
        <w:bottom w:val="none" w:sz="0" w:space="0" w:color="auto"/>
        <w:right w:val="none" w:sz="0" w:space="0" w:color="auto"/>
      </w:divBdr>
    </w:div>
    <w:div w:id="1834684119">
      <w:bodyDiv w:val="1"/>
      <w:marLeft w:val="0"/>
      <w:marRight w:val="0"/>
      <w:marTop w:val="0"/>
      <w:marBottom w:val="0"/>
      <w:divBdr>
        <w:top w:val="none" w:sz="0" w:space="0" w:color="auto"/>
        <w:left w:val="none" w:sz="0" w:space="0" w:color="auto"/>
        <w:bottom w:val="none" w:sz="0" w:space="0" w:color="auto"/>
        <w:right w:val="none" w:sz="0" w:space="0" w:color="auto"/>
      </w:divBdr>
    </w:div>
    <w:div w:id="1880124042">
      <w:bodyDiv w:val="1"/>
      <w:marLeft w:val="0"/>
      <w:marRight w:val="0"/>
      <w:marTop w:val="0"/>
      <w:marBottom w:val="0"/>
      <w:divBdr>
        <w:top w:val="none" w:sz="0" w:space="0" w:color="auto"/>
        <w:left w:val="none" w:sz="0" w:space="0" w:color="auto"/>
        <w:bottom w:val="none" w:sz="0" w:space="0" w:color="auto"/>
        <w:right w:val="none" w:sz="0" w:space="0" w:color="auto"/>
      </w:divBdr>
      <w:divsChild>
        <w:div w:id="1618753376">
          <w:marLeft w:val="547"/>
          <w:marRight w:val="0"/>
          <w:marTop w:val="0"/>
          <w:marBottom w:val="0"/>
          <w:divBdr>
            <w:top w:val="none" w:sz="0" w:space="0" w:color="auto"/>
            <w:left w:val="none" w:sz="0" w:space="0" w:color="auto"/>
            <w:bottom w:val="none" w:sz="0" w:space="0" w:color="auto"/>
            <w:right w:val="none" w:sz="0" w:space="0" w:color="auto"/>
          </w:divBdr>
        </w:div>
      </w:divsChild>
    </w:div>
    <w:div w:id="1892421832">
      <w:bodyDiv w:val="1"/>
      <w:marLeft w:val="0"/>
      <w:marRight w:val="0"/>
      <w:marTop w:val="0"/>
      <w:marBottom w:val="0"/>
      <w:divBdr>
        <w:top w:val="none" w:sz="0" w:space="0" w:color="auto"/>
        <w:left w:val="none" w:sz="0" w:space="0" w:color="auto"/>
        <w:bottom w:val="none" w:sz="0" w:space="0" w:color="auto"/>
        <w:right w:val="none" w:sz="0" w:space="0" w:color="auto"/>
      </w:divBdr>
    </w:div>
    <w:div w:id="1924996124">
      <w:bodyDiv w:val="1"/>
      <w:marLeft w:val="0"/>
      <w:marRight w:val="0"/>
      <w:marTop w:val="0"/>
      <w:marBottom w:val="0"/>
      <w:divBdr>
        <w:top w:val="none" w:sz="0" w:space="0" w:color="auto"/>
        <w:left w:val="none" w:sz="0" w:space="0" w:color="auto"/>
        <w:bottom w:val="none" w:sz="0" w:space="0" w:color="auto"/>
        <w:right w:val="none" w:sz="0" w:space="0" w:color="auto"/>
      </w:divBdr>
      <w:divsChild>
        <w:div w:id="524248654">
          <w:marLeft w:val="547"/>
          <w:marRight w:val="0"/>
          <w:marTop w:val="0"/>
          <w:marBottom w:val="0"/>
          <w:divBdr>
            <w:top w:val="none" w:sz="0" w:space="0" w:color="auto"/>
            <w:left w:val="none" w:sz="0" w:space="0" w:color="auto"/>
            <w:bottom w:val="none" w:sz="0" w:space="0" w:color="auto"/>
            <w:right w:val="none" w:sz="0" w:space="0" w:color="auto"/>
          </w:divBdr>
        </w:div>
      </w:divsChild>
    </w:div>
    <w:div w:id="2130663489">
      <w:bodyDiv w:val="1"/>
      <w:marLeft w:val="0"/>
      <w:marRight w:val="0"/>
      <w:marTop w:val="0"/>
      <w:marBottom w:val="0"/>
      <w:divBdr>
        <w:top w:val="none" w:sz="0" w:space="0" w:color="auto"/>
        <w:left w:val="none" w:sz="0" w:space="0" w:color="auto"/>
        <w:bottom w:val="none" w:sz="0" w:space="0" w:color="auto"/>
        <w:right w:val="none" w:sz="0" w:space="0" w:color="auto"/>
      </w:divBdr>
      <w:divsChild>
        <w:div w:id="14716300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mage_x0020_type xmlns="887282ec-0307-4a54-a2ab-555307735e27">4</Image_x0020_type>
    <Image_x0020_configuration xmlns="887282ec-0307-4a54-a2ab-555307735e27">Plan</Image_x0020_configuration>
    <Image_x0020_category xmlns="887282ec-0307-4a54-a2ab-555307735e27">2</Image_x0020_category>
    <Image_x0020_file_x0020_type xmlns="887282ec-0307-4a54-a2ab-555307735e27">DOC</Image_x0020_file_x0020_type>
    <PublishingExpirationDate xmlns="http://schemas.microsoft.com/sharepoint/v3" xsi:nil="true"/>
    <PublishingStartDate xmlns="http://schemas.microsoft.com/sharepoint/v3" xsi:nil="true"/>
    <_dlc_DocId xmlns="56bf48f9-bed7-4b5f-81bc-519c362bc0de">YDQ2XRESEF5J-382-670</_dlc_DocId>
    <_dlc_DocIdUrl xmlns="56bf48f9-bed7-4b5f-81bc-519c362bc0de">
      <Url>http://wired2/resources/branding/_layouts/DocIdRedir.aspx?ID=YDQ2XRESEF5J-382-670</Url>
      <Description>YDQ2XRESEF5J-382-670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8B7EE2A1E8B64898E47123DE83602F" ma:contentTypeVersion="10" ma:contentTypeDescription="Create a new document." ma:contentTypeScope="" ma:versionID="9b15d79b96d1b7b452aa23fc9f690e30">
  <xsd:schema xmlns:xsd="http://www.w3.org/2001/XMLSchema" xmlns:xs="http://www.w3.org/2001/XMLSchema" xmlns:p="http://schemas.microsoft.com/office/2006/metadata/properties" xmlns:ns1="http://schemas.microsoft.com/sharepoint/v3" xmlns:ns2="887282ec-0307-4a54-a2ab-555307735e27" xmlns:ns3="56bf48f9-bed7-4b5f-81bc-519c362bc0de" targetNamespace="http://schemas.microsoft.com/office/2006/metadata/properties" ma:root="true" ma:fieldsID="460524218b073ceafe09394d6f25a807" ns1:_="" ns2:_="" ns3:_="">
    <xsd:import namespace="http://schemas.microsoft.com/sharepoint/v3"/>
    <xsd:import namespace="887282ec-0307-4a54-a2ab-555307735e27"/>
    <xsd:import namespace="56bf48f9-bed7-4b5f-81bc-519c362bc0de"/>
    <xsd:element name="properties">
      <xsd:complexType>
        <xsd:sequence>
          <xsd:element name="documentManagement">
            <xsd:complexType>
              <xsd:all>
                <xsd:element ref="ns1:PublishingStartDate" minOccurs="0"/>
                <xsd:element ref="ns1:PublishingExpirationDate" minOccurs="0"/>
                <xsd:element ref="ns2:Image_x0020_category"/>
                <xsd:element ref="ns2:Image_x0020_type"/>
                <xsd:element ref="ns2:Image_x0020_configuration"/>
                <xsd:element ref="ns2:Image_x0020_file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7282ec-0307-4a54-a2ab-555307735e27" elementFormDefault="qualified">
    <xsd:import namespace="http://schemas.microsoft.com/office/2006/documentManagement/types"/>
    <xsd:import namespace="http://schemas.microsoft.com/office/infopath/2007/PartnerControls"/>
    <xsd:element name="Image_x0020_category" ma:index="10" ma:displayName="Image category" ma:list="{db7a74ef-0a75-40a5-9137-638e70447e56}" ma:internalName="Image_x0020_category" ma:readOnly="false" ma:showField="LinkTitleNoMenu">
      <xsd:simpleType>
        <xsd:restriction base="dms:Lookup"/>
      </xsd:simpleType>
    </xsd:element>
    <xsd:element name="Image_x0020_type" ma:index="11" ma:displayName="Image type" ma:list="{cad71062-663f-4287-ad67-8204c85d9a0f}" ma:internalName="Image_x0020_type" ma:readOnly="false" ma:showField="LinkTitleNoMenu">
      <xsd:simpleType>
        <xsd:restriction base="dms:Lookup"/>
      </xsd:simpleType>
    </xsd:element>
    <xsd:element name="Image_x0020_configuration" ma:index="12" ma:displayName="Image configuration" ma:default="Logo Primary - Full colour" ma:format="Dropdown" ma:internalName="Image_x0020_configuration">
      <xsd:simpleType>
        <xsd:restriction base="dms:Choice">
          <xsd:enumeration value="Advertisements"/>
          <xsd:enumeration value="Agendas"/>
          <xsd:enumeration value="Baseline alternate logo, black"/>
          <xsd:enumeration value="Baseline alternate logo, full colour"/>
          <xsd:enumeration value="Baseline alternate logo, reversed white"/>
          <xsd:enumeration value="Baseline background"/>
          <xsd:enumeration value="Baseline banner / footer"/>
          <xsd:enumeration value="Baseline brand guidelines"/>
          <xsd:enumeration value="Baseline certificate"/>
          <xsd:enumeration value="Baseline dropdown"/>
          <xsd:enumeration value="Baseline flyers"/>
          <xsd:enumeration value="Baseline font"/>
          <xsd:enumeration value="Baseline PowerPoint presentation"/>
          <xsd:enumeration value="Baseline primary logo, black"/>
          <xsd:enumeration value="Baseline primary logo, full colour"/>
          <xsd:enumeration value="Baseline primary logo, reversed white"/>
          <xsd:enumeration value="Board signs"/>
          <xsd:enumeration value="Brochures"/>
          <xsd:enumeration value="Certificates"/>
          <xsd:enumeration value="Circle element – configuration 1"/>
          <xsd:enumeration value="Circle element – configuration 2"/>
          <xsd:enumeration value="Circle element – configuration 3"/>
          <xsd:enumeration value="Circle element – configuration 4"/>
          <xsd:enumeration value="Epping Central brand guidelines"/>
          <xsd:enumeration value="Epping Central font"/>
          <xsd:enumeration value="Epping Central logos"/>
          <xsd:enumeration value="Fact Sheets"/>
          <xsd:enumeration value="FYB background"/>
          <xsd:enumeration value="FYB fact sheets"/>
          <xsd:enumeration value="FYB flyers"/>
          <xsd:enumeration value="FYB font"/>
          <xsd:enumeration value="FYB icon"/>
          <xsd:enumeration value="Flyers"/>
          <xsd:enumeration value="Forms"/>
          <xsd:enumeration value="GFGC brand guidelines"/>
          <xsd:enumeration value="GFGC font"/>
          <xsd:enumeration value="GFGC frog, full colour"/>
          <xsd:enumeration value="GFGC frog, two colour"/>
          <xsd:enumeration value="GFGC frog, outline"/>
          <xsd:enumeration value="GFGC logo, full colour"/>
          <xsd:enumeration value="GFGC logo, two colour"/>
          <xsd:enumeration value="GFGC logo, black"/>
          <xsd:enumeration value="GFGC logo, reversed white"/>
          <xsd:enumeration value="GFGC logo, text only"/>
          <xsd:enumeration value="GFGC restaurant logo, brown"/>
          <xsd:enumeration value="GFGC restaurant logo, white"/>
          <xsd:enumeration value="Icon - BBQ"/>
          <xsd:enumeration value="Icon - Bicycles"/>
          <xsd:enumeration value="Icon - Cars &amp; Parking"/>
          <xsd:enumeration value="Icon - Dogs"/>
          <xsd:enumeration value="Icon - Open flames"/>
          <xsd:enumeration value="Icon - Picnic"/>
          <xsd:enumeration value="Icon - Playground"/>
          <xsd:enumeration value="Icon - Toilets"/>
          <xsd:enumeration value="Icon - Walking trail"/>
          <xsd:enumeration value="Icon - Wheelchair access"/>
          <xsd:enumeration value="Invitations"/>
          <xsd:enumeration value="Language bar - Horizontal Black"/>
          <xsd:enumeration value="Language bar - Horizontal Blue 2995"/>
          <xsd:enumeration value="Language bar - Horizontal Reversed white"/>
          <xsd:enumeration value="Language bar - Stacked Black"/>
          <xsd:enumeration value="Language bar - Stacked Blue 2995"/>
          <xsd:enumeration value="Language bar - Stacked Reversed white"/>
          <xsd:enumeration value="Language bar - Vertical Black"/>
          <xsd:enumeration value="Language bar - Vertical Blue 2995"/>
          <xsd:enumeration value="Language bar - Vertical Reversed white"/>
          <xsd:enumeration value="Letters"/>
          <xsd:enumeration value="Logo Alternate - Full colour"/>
          <xsd:enumeration value="Logo Alternate - Black"/>
          <xsd:enumeration value="Logo Alternate - Blue 541"/>
          <xsd:enumeration value="Logo Alternate - Reversed white"/>
          <xsd:enumeration value="Logo Alternate - Semi-reversed"/>
          <xsd:enumeration value="Logo Primary - Full colour"/>
          <xsd:enumeration value="Logo Primary - Black"/>
          <xsd:enumeration value="Logo Primary - Blue 541"/>
          <xsd:enumeration value="Logo Primary - Reversed white"/>
          <xsd:enumeration value="Logo Primary - Semi-reversed"/>
          <xsd:enumeration value="Media releases"/>
          <xsd:enumeration value="Minutes"/>
          <xsd:enumeration value="MPL alternate logo, full colour"/>
          <xsd:enumeration value="MPL alternate logo, reversed white"/>
          <xsd:enumeration value="MPL brand guidelines"/>
          <xsd:enumeration value="MPL facility icons"/>
          <xsd:enumeration value="MPL primary logo, full colour"/>
          <xsd:enumeration value="MPL primary logo, reversed white"/>
          <xsd:enumeration value="Newsletters"/>
          <xsd:enumeration value="Plan"/>
          <xsd:enumeration value="Policies"/>
          <xsd:enumeration value="Posters"/>
          <xsd:enumeration value="PowerPoint presentations"/>
          <xsd:enumeration value="PRACC brand guidelines"/>
          <xsd:enumeration value="PRACC logo, full colour"/>
          <xsd:enumeration value="PRACC logo, reversed white"/>
          <xsd:enumeration value="Publication documents"/>
          <xsd:enumeration value="Reports"/>
          <xsd:enumeration value="Signage - Parks &amp; Open Space"/>
          <xsd:enumeration value="Signage - Building"/>
          <xsd:enumeration value="Signage - Suburb"/>
          <xsd:enumeration value="Signage - Street"/>
          <xsd:enumeration value="Signage - Department"/>
          <xsd:enumeration value="Signage - Wayfinding"/>
          <xsd:enumeration value="Signage - Project boards"/>
          <xsd:enumeration value="Signage - Gateway"/>
          <xsd:enumeration value="Signage - Precinct"/>
          <xsd:enumeration value="Stationery"/>
          <xsd:enumeration value="Strategies"/>
          <xsd:enumeration value="Surveys"/>
          <xsd:enumeration value="TRAC brand guidelines"/>
          <xsd:enumeration value="TRAC primary logo, full colour"/>
          <xsd:enumeration value="TRAC primary logo, blue mono"/>
          <xsd:enumeration value="TRAC primary logo, reversed white"/>
          <xsd:enumeration value="TRAC alternate logo, Full colour"/>
          <xsd:enumeration value="I love TRAC logo, horizontal"/>
          <xsd:enumeration value="I love TRAC logo, stacked"/>
          <xsd:enumeration value="TRAC facility logos"/>
          <xsd:enumeration value="TRAC logo, text only"/>
          <xsd:enumeration value="TRAC icon"/>
          <xsd:enumeration value="TRAC font"/>
          <xsd:enumeration value="WSC brand guidelines"/>
          <xsd:enumeration value="WSC primary logo, full colour"/>
          <xsd:enumeration value="WSC primary logo, reversed white"/>
          <xsd:enumeration value="WSC alternate logo, full colour"/>
          <xsd:enumeration value="WSC alternate logo, reversed white"/>
          <xsd:enumeration value="WSC facility icons"/>
        </xsd:restriction>
      </xsd:simpleType>
    </xsd:element>
    <xsd:element name="Image_x0020_file_x0020_type" ma:index="13" nillable="true" ma:displayName="Image file type" ma:default="JPG" ma:format="Dropdown" ma:internalName="Image_x0020_file_x0020_type">
      <xsd:simpleType>
        <xsd:restriction base="dms:Choice">
          <xsd:enumeration value="AI"/>
          <xsd:enumeration value="DOC"/>
          <xsd:enumeration value="EPS"/>
          <xsd:enumeration value="INDD"/>
          <xsd:enumeration value="JPG"/>
          <xsd:enumeration value="OTF"/>
          <xsd:enumeration value="PDF"/>
          <xsd:enumeration value="PPT"/>
          <xsd:enumeration value="PSD"/>
          <xsd:enumeration value="PUB"/>
          <xsd:enumeration value="TTF"/>
          <xsd:enumeration value="ZIP"/>
        </xsd:restriction>
      </xsd:simpleType>
    </xsd:element>
  </xsd:schema>
  <xsd:schema xmlns:xsd="http://www.w3.org/2001/XMLSchema" xmlns:xs="http://www.w3.org/2001/XMLSchema" xmlns:dms="http://schemas.microsoft.com/office/2006/documentManagement/types" xmlns:pc="http://schemas.microsoft.com/office/infopath/2007/PartnerControls" targetNamespace="56bf48f9-bed7-4b5f-81bc-519c362bc0d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D83D1-6AAD-4CA6-B5D2-82F7B2516726}">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56bf48f9-bed7-4b5f-81bc-519c362bc0de"/>
    <ds:schemaRef ds:uri="887282ec-0307-4a54-a2ab-555307735e27"/>
    <ds:schemaRef ds:uri="http://schemas.microsoft.com/sharepoint/v3"/>
    <ds:schemaRef ds:uri="http://purl.org/dc/dcmitype/"/>
  </ds:schemaRefs>
</ds:datastoreItem>
</file>

<file path=customXml/itemProps2.xml><?xml version="1.0" encoding="utf-8"?>
<ds:datastoreItem xmlns:ds="http://schemas.openxmlformats.org/officeDocument/2006/customXml" ds:itemID="{F20BE473-1739-4CDA-98AD-A07D79363C43}">
  <ds:schemaRefs>
    <ds:schemaRef ds:uri="http://schemas.microsoft.com/sharepoint/v3/contenttype/forms"/>
  </ds:schemaRefs>
</ds:datastoreItem>
</file>

<file path=customXml/itemProps3.xml><?xml version="1.0" encoding="utf-8"?>
<ds:datastoreItem xmlns:ds="http://schemas.openxmlformats.org/officeDocument/2006/customXml" ds:itemID="{2A3BF620-1139-447D-A863-590EA6669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7282ec-0307-4a54-a2ab-555307735e27"/>
    <ds:schemaRef ds:uri="56bf48f9-bed7-4b5f-81bc-519c362bc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5DA97-F4BC-4513-A44E-54373DA50F9C}">
  <ds:schemaRefs>
    <ds:schemaRef ds:uri="http://schemas.microsoft.com/sharepoint/events"/>
  </ds:schemaRefs>
</ds:datastoreItem>
</file>

<file path=customXml/itemProps5.xml><?xml version="1.0" encoding="utf-8"?>
<ds:datastoreItem xmlns:ds="http://schemas.openxmlformats.org/officeDocument/2006/customXml" ds:itemID="{466370AA-454D-4148-9A01-30FDA4C9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B4EFA720.dotm</Template>
  <TotalTime>420</TotalTime>
  <Pages>31</Pages>
  <Words>6645</Words>
  <Characters>37807</Characters>
  <Application>Microsoft Office Word</Application>
  <DocSecurity>0</DocSecurity>
  <Lines>895</Lines>
  <Paragraphs>306</Paragraphs>
  <ScaleCrop>false</ScaleCrop>
  <HeadingPairs>
    <vt:vector size="2" baseType="variant">
      <vt:variant>
        <vt:lpstr>Title</vt:lpstr>
      </vt:variant>
      <vt:variant>
        <vt:i4>1</vt:i4>
      </vt:variant>
    </vt:vector>
  </HeadingPairs>
  <TitlesOfParts>
    <vt:vector size="1" baseType="lpstr">
      <vt:lpstr>Strategy template (DOTX)</vt:lpstr>
    </vt:vector>
  </TitlesOfParts>
  <Company>City of Whittlesea</Company>
  <LinksUpToDate>false</LinksUpToDate>
  <CharactersWithSpaces>44346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Safety and Crime Prevention Strategy</dc:title>
  <dc:creator>City of Whittlesea</dc:creator>
  <cp:lastModifiedBy>Gemma Harris</cp:lastModifiedBy>
  <cp:revision>69</cp:revision>
  <cp:lastPrinted>2017-03-14T23:59:00Z</cp:lastPrinted>
  <dcterms:created xsi:type="dcterms:W3CDTF">2016-09-13T05:40:00Z</dcterms:created>
  <dcterms:modified xsi:type="dcterms:W3CDTF">2017-03-14T23:59:00Z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0x010100A58B7EE2A1E8B64898E47123DE83602F</vt:lpwstr>
  </property>
  <property fmtid="{D5CDD505-2E9C-101B-9397-08002B2CF9AE}" pid="3" name="_dlc_DocIdItemGuid">
    <vt:lpwstr>fe2cabca-5371-4ae5-b99e-baa2217573b4</vt:lpwstr>
  </property>
</Properties>
</file>