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65E3" w14:textId="436C3F3A" w:rsidR="007C2322" w:rsidRPr="007C2322" w:rsidRDefault="00021494" w:rsidP="00021494">
      <w:pPr>
        <w:rPr>
          <w:b/>
          <w:bCs/>
          <w:color w:val="006FC0"/>
          <w:sz w:val="44"/>
          <w:szCs w:val="44"/>
        </w:rPr>
      </w:pPr>
      <w:r>
        <w:rPr>
          <w:b/>
          <w:bCs/>
          <w:color w:val="006FC0"/>
          <w:sz w:val="44"/>
          <w:szCs w:val="44"/>
        </w:rPr>
        <w:t xml:space="preserve">Fair Access Policy </w:t>
      </w:r>
      <w:r w:rsidR="007C2322">
        <w:rPr>
          <w:b/>
          <w:bCs/>
          <w:color w:val="006FC0"/>
          <w:sz w:val="44"/>
          <w:szCs w:val="44"/>
        </w:rPr>
        <w:br/>
      </w:r>
      <w:r w:rsidR="007C2322">
        <w:rPr>
          <w:b/>
          <w:bCs/>
          <w:color w:val="006FC0"/>
          <w:sz w:val="44"/>
          <w:szCs w:val="44"/>
        </w:rPr>
        <w:br/>
      </w:r>
      <w:r w:rsidR="00A36ACD" w:rsidRPr="00145289">
        <w:rPr>
          <w:b/>
          <w:bCs/>
          <w:sz w:val="24"/>
          <w:szCs w:val="24"/>
        </w:rPr>
        <w:t>P</w:t>
      </w:r>
      <w:r w:rsidRPr="00145289">
        <w:rPr>
          <w:b/>
          <w:bCs/>
          <w:sz w:val="24"/>
          <w:szCs w:val="24"/>
        </w:rPr>
        <w:t>olicy statement</w:t>
      </w:r>
    </w:p>
    <w:p w14:paraId="48E0E7D9" w14:textId="41223328" w:rsidR="00021494" w:rsidRPr="007C2322" w:rsidRDefault="00021494" w:rsidP="00021494">
      <w:pPr>
        <w:rPr>
          <w:sz w:val="24"/>
          <w:szCs w:val="24"/>
        </w:rPr>
      </w:pPr>
      <w:r w:rsidRPr="00145289">
        <w:rPr>
          <w:sz w:val="24"/>
          <w:szCs w:val="24"/>
        </w:rPr>
        <w:t>The City of Whittlesea will undertake the necessary and proportionate steps towards achieving more gender equitable access and usage of community sports infrastructure, and improved experiences for women and girls when participating in local sport.</w:t>
      </w:r>
    </w:p>
    <w:p w14:paraId="002CABAD" w14:textId="3F360A2E" w:rsidR="005E7889" w:rsidRPr="00145289" w:rsidRDefault="00021494" w:rsidP="00C97225">
      <w:pPr>
        <w:rPr>
          <w:sz w:val="24"/>
          <w:szCs w:val="24"/>
        </w:rPr>
      </w:pPr>
      <w:r w:rsidRPr="00145289">
        <w:rPr>
          <w:sz w:val="24"/>
          <w:szCs w:val="24"/>
        </w:rPr>
        <w:t>This Policy establishes Council’s commitment that gender equality be considered and prioritised in all current and future Council planning, policy, service delivery, facility allocations and practice as they relate to community sports infrastructure.</w:t>
      </w:r>
    </w:p>
    <w:p w14:paraId="606F483F" w14:textId="3C40B969" w:rsidR="005E7889" w:rsidRDefault="005E7889" w:rsidP="005E7889">
      <w:pPr>
        <w:pStyle w:val="Default"/>
        <w:rPr>
          <w:b/>
          <w:bCs/>
        </w:rPr>
      </w:pPr>
      <w:r w:rsidRPr="00145289">
        <w:rPr>
          <w:b/>
          <w:bCs/>
        </w:rPr>
        <w:t xml:space="preserve">Purpose </w:t>
      </w:r>
    </w:p>
    <w:p w14:paraId="4BB08DF3" w14:textId="77777777" w:rsidR="007C2322" w:rsidRPr="007C2322" w:rsidRDefault="007C2322" w:rsidP="005E7889">
      <w:pPr>
        <w:pStyle w:val="Default"/>
        <w:rPr>
          <w:b/>
          <w:bCs/>
          <w:sz w:val="8"/>
          <w:szCs w:val="8"/>
        </w:rPr>
      </w:pPr>
    </w:p>
    <w:p w14:paraId="53629565" w14:textId="6A806C0E" w:rsidR="00021494" w:rsidRPr="00145289" w:rsidRDefault="005E7889" w:rsidP="005E7889">
      <w:pPr>
        <w:rPr>
          <w:sz w:val="24"/>
          <w:szCs w:val="24"/>
        </w:rPr>
      </w:pPr>
      <w:r w:rsidRPr="00145289">
        <w:rPr>
          <w:sz w:val="24"/>
          <w:szCs w:val="24"/>
        </w:rPr>
        <w:t>The Fair Access Policy (</w:t>
      </w:r>
      <w:r w:rsidRPr="00145289">
        <w:rPr>
          <w:b/>
          <w:bCs/>
          <w:sz w:val="24"/>
          <w:szCs w:val="24"/>
        </w:rPr>
        <w:t>Policy</w:t>
      </w:r>
      <w:r w:rsidRPr="00145289">
        <w:rPr>
          <w:sz w:val="24"/>
          <w:szCs w:val="24"/>
        </w:rPr>
        <w:t>) seeks to:</w:t>
      </w:r>
    </w:p>
    <w:p w14:paraId="05C39CDF" w14:textId="494F5F8A" w:rsidR="005E7889" w:rsidRPr="007C2322" w:rsidRDefault="005E7889" w:rsidP="005E7889">
      <w:pPr>
        <w:pStyle w:val="ListParagraph"/>
        <w:numPr>
          <w:ilvl w:val="0"/>
          <w:numId w:val="1"/>
        </w:numPr>
        <w:rPr>
          <w:sz w:val="23"/>
          <w:szCs w:val="23"/>
        </w:rPr>
      </w:pPr>
      <w:r w:rsidRPr="007C2322">
        <w:rPr>
          <w:sz w:val="23"/>
          <w:szCs w:val="23"/>
        </w:rPr>
        <w:t>address known barriers experienced by women and girls in accessing and using community</w:t>
      </w:r>
      <w:r w:rsidRPr="007C2322">
        <w:rPr>
          <w:sz w:val="23"/>
          <w:szCs w:val="23"/>
        </w:rPr>
        <w:t xml:space="preserve"> </w:t>
      </w:r>
      <w:r w:rsidRPr="007C2322">
        <w:rPr>
          <w:sz w:val="23"/>
          <w:szCs w:val="23"/>
        </w:rPr>
        <w:t xml:space="preserve">sports </w:t>
      </w:r>
      <w:proofErr w:type="gramStart"/>
      <w:r w:rsidRPr="007C2322">
        <w:rPr>
          <w:sz w:val="23"/>
          <w:szCs w:val="23"/>
        </w:rPr>
        <w:t>infrastructure;</w:t>
      </w:r>
      <w:proofErr w:type="gramEnd"/>
    </w:p>
    <w:p w14:paraId="3C65D9C6" w14:textId="05111ADC" w:rsidR="005E7889" w:rsidRPr="007C2322" w:rsidRDefault="005E7889" w:rsidP="005E7889">
      <w:pPr>
        <w:pStyle w:val="ListParagraph"/>
        <w:numPr>
          <w:ilvl w:val="0"/>
          <w:numId w:val="1"/>
        </w:numPr>
        <w:rPr>
          <w:sz w:val="23"/>
          <w:szCs w:val="23"/>
        </w:rPr>
      </w:pPr>
      <w:r w:rsidRPr="007C2322">
        <w:rPr>
          <w:sz w:val="23"/>
          <w:szCs w:val="23"/>
        </w:rPr>
        <w:t>ensure solutions developed and implemented are guided by the six principles of Fair Access</w:t>
      </w:r>
      <w:r w:rsidRPr="007C2322">
        <w:rPr>
          <w:sz w:val="23"/>
          <w:szCs w:val="23"/>
        </w:rPr>
        <w:t xml:space="preserve"> </w:t>
      </w:r>
      <w:r w:rsidRPr="007C2322">
        <w:rPr>
          <w:sz w:val="23"/>
          <w:szCs w:val="23"/>
        </w:rPr>
        <w:t xml:space="preserve">detailed </w:t>
      </w:r>
      <w:proofErr w:type="gramStart"/>
      <w:r w:rsidRPr="007C2322">
        <w:rPr>
          <w:sz w:val="23"/>
          <w:szCs w:val="23"/>
        </w:rPr>
        <w:t>below;</w:t>
      </w:r>
      <w:proofErr w:type="gramEnd"/>
    </w:p>
    <w:p w14:paraId="2A6054B3" w14:textId="7C4028B5" w:rsidR="005E7889" w:rsidRPr="007C2322" w:rsidRDefault="005E7889" w:rsidP="005E7889">
      <w:pPr>
        <w:pStyle w:val="ListParagraph"/>
        <w:numPr>
          <w:ilvl w:val="0"/>
          <w:numId w:val="1"/>
        </w:numPr>
        <w:rPr>
          <w:sz w:val="23"/>
          <w:szCs w:val="23"/>
        </w:rPr>
      </w:pPr>
      <w:r w:rsidRPr="007C2322">
        <w:rPr>
          <w:sz w:val="23"/>
          <w:szCs w:val="23"/>
        </w:rPr>
        <w:t>articulate criteria for Sports Clubs allocation of Council facilities that is consistent with the</w:t>
      </w:r>
      <w:r w:rsidRPr="007C2322">
        <w:rPr>
          <w:sz w:val="23"/>
          <w:szCs w:val="23"/>
        </w:rPr>
        <w:t xml:space="preserve"> </w:t>
      </w:r>
      <w:r w:rsidRPr="007C2322">
        <w:rPr>
          <w:sz w:val="23"/>
          <w:szCs w:val="23"/>
        </w:rPr>
        <w:t xml:space="preserve">Fair Access </w:t>
      </w:r>
      <w:proofErr w:type="gramStart"/>
      <w:r w:rsidRPr="007C2322">
        <w:rPr>
          <w:sz w:val="23"/>
          <w:szCs w:val="23"/>
        </w:rPr>
        <w:t>principles;</w:t>
      </w:r>
      <w:proofErr w:type="gramEnd"/>
    </w:p>
    <w:p w14:paraId="4C9E33B7" w14:textId="4F94166F" w:rsidR="005E7889" w:rsidRPr="007C2322" w:rsidRDefault="005E7889" w:rsidP="005E7889">
      <w:pPr>
        <w:pStyle w:val="ListParagraph"/>
        <w:numPr>
          <w:ilvl w:val="0"/>
          <w:numId w:val="1"/>
        </w:numPr>
        <w:rPr>
          <w:sz w:val="23"/>
          <w:szCs w:val="23"/>
        </w:rPr>
      </w:pPr>
      <w:r w:rsidRPr="007C2322">
        <w:rPr>
          <w:sz w:val="23"/>
          <w:szCs w:val="23"/>
        </w:rPr>
        <w:t>support Sporting Clubs in education and training regarding the Fair Access Policy; and</w:t>
      </w:r>
    </w:p>
    <w:p w14:paraId="2D4E30C9" w14:textId="17315C6F" w:rsidR="003A09D6" w:rsidRPr="007C2322" w:rsidRDefault="005E7889" w:rsidP="003A09D6">
      <w:pPr>
        <w:pStyle w:val="ListParagraph"/>
        <w:numPr>
          <w:ilvl w:val="0"/>
          <w:numId w:val="1"/>
        </w:numPr>
        <w:rPr>
          <w:sz w:val="23"/>
          <w:szCs w:val="23"/>
        </w:rPr>
      </w:pPr>
      <w:r w:rsidRPr="007C2322">
        <w:rPr>
          <w:sz w:val="23"/>
          <w:szCs w:val="23"/>
        </w:rPr>
        <w:t>align with the State Government’s Fair Access Roadmap.</w:t>
      </w:r>
    </w:p>
    <w:p w14:paraId="1CBDEB3F" w14:textId="30A7B818" w:rsidR="003A09D6" w:rsidRPr="00145289" w:rsidRDefault="003A09D6" w:rsidP="003A09D6">
      <w:pPr>
        <w:pStyle w:val="Default"/>
        <w:rPr>
          <w:b/>
          <w:bCs/>
        </w:rPr>
      </w:pPr>
      <w:r w:rsidRPr="00145289">
        <w:rPr>
          <w:b/>
          <w:bCs/>
        </w:rPr>
        <w:t xml:space="preserve">Background </w:t>
      </w:r>
    </w:p>
    <w:p w14:paraId="07C9386C" w14:textId="77777777" w:rsidR="00A36ACD" w:rsidRPr="007C2322" w:rsidRDefault="00A36ACD" w:rsidP="003A09D6">
      <w:pPr>
        <w:pStyle w:val="Default"/>
        <w:rPr>
          <w:b/>
          <w:bCs/>
          <w:sz w:val="8"/>
          <w:szCs w:val="8"/>
        </w:rPr>
      </w:pPr>
    </w:p>
    <w:p w14:paraId="2417FC1E" w14:textId="3CF69EDD" w:rsidR="00083863" w:rsidRPr="00145289" w:rsidRDefault="003A09D6" w:rsidP="003A09D6">
      <w:pPr>
        <w:rPr>
          <w:sz w:val="24"/>
          <w:szCs w:val="24"/>
        </w:rPr>
      </w:pPr>
      <w:r w:rsidRPr="00145289">
        <w:rPr>
          <w:sz w:val="24"/>
          <w:szCs w:val="24"/>
        </w:rPr>
        <w:t>Sport is a highly visible and valued feature of City of Whittlesea’s culture and identity. The benefits of sport include physical and mental wellbeing, creating a sense of belonging and connection with community.</w:t>
      </w:r>
    </w:p>
    <w:p w14:paraId="2B017DD6" w14:textId="5AD4DE6C" w:rsidR="003A09D6" w:rsidRPr="00145289" w:rsidRDefault="003A09D6" w:rsidP="003A09D6">
      <w:pPr>
        <w:rPr>
          <w:sz w:val="24"/>
          <w:szCs w:val="24"/>
        </w:rPr>
      </w:pPr>
      <w:r w:rsidRPr="00145289">
        <w:rPr>
          <w:sz w:val="24"/>
          <w:szCs w:val="24"/>
        </w:rPr>
        <w:t xml:space="preserve">The Sport Participation Trends Across Victorian LGAS report released in April 2024 shows the City of Whittlesea ranks 73 out of 79 council areas for women and girls participating in organised sport. This figure was boosted by sports with traditionally high participation rates by women and girls including calisthenics, </w:t>
      </w:r>
      <w:proofErr w:type="gramStart"/>
      <w:r w:rsidRPr="00145289">
        <w:rPr>
          <w:sz w:val="24"/>
          <w:szCs w:val="24"/>
        </w:rPr>
        <w:t>softball</w:t>
      </w:r>
      <w:proofErr w:type="gramEnd"/>
      <w:r w:rsidRPr="00145289">
        <w:rPr>
          <w:sz w:val="24"/>
          <w:szCs w:val="24"/>
        </w:rPr>
        <w:t xml:space="preserve"> and netball. In several sports, female participation in the City of Whittlesea in 2023 was significantly lower than male participation and lower than state averages, including:</w:t>
      </w:r>
    </w:p>
    <w:p w14:paraId="312015D5" w14:textId="3C291847" w:rsidR="009F6585" w:rsidRPr="007C2322" w:rsidRDefault="009F6585" w:rsidP="009F6585">
      <w:pPr>
        <w:pStyle w:val="ListParagraph"/>
        <w:numPr>
          <w:ilvl w:val="0"/>
          <w:numId w:val="2"/>
        </w:numPr>
        <w:rPr>
          <w:sz w:val="24"/>
          <w:szCs w:val="24"/>
        </w:rPr>
      </w:pPr>
      <w:r w:rsidRPr="007C2322">
        <w:rPr>
          <w:sz w:val="24"/>
          <w:szCs w:val="24"/>
        </w:rPr>
        <w:t>Australian Rules 16.91% (AFL Victoria 17%)</w:t>
      </w:r>
    </w:p>
    <w:p w14:paraId="36F25D61" w14:textId="0F952A79" w:rsidR="009F6585" w:rsidRPr="007C2322" w:rsidRDefault="009F6585" w:rsidP="009F6585">
      <w:pPr>
        <w:pStyle w:val="ListParagraph"/>
        <w:numPr>
          <w:ilvl w:val="0"/>
          <w:numId w:val="2"/>
        </w:numPr>
        <w:rPr>
          <w:sz w:val="24"/>
          <w:szCs w:val="24"/>
        </w:rPr>
      </w:pPr>
      <w:r w:rsidRPr="007C2322">
        <w:rPr>
          <w:sz w:val="24"/>
          <w:szCs w:val="24"/>
        </w:rPr>
        <w:t>Football 15.44% (Football Victoria 21%)</w:t>
      </w:r>
    </w:p>
    <w:p w14:paraId="0AF51348" w14:textId="286FDEF7" w:rsidR="009F6585" w:rsidRPr="007C2322" w:rsidRDefault="009F6585" w:rsidP="009F6585">
      <w:pPr>
        <w:pStyle w:val="ListParagraph"/>
        <w:numPr>
          <w:ilvl w:val="0"/>
          <w:numId w:val="2"/>
        </w:numPr>
        <w:rPr>
          <w:sz w:val="24"/>
          <w:szCs w:val="24"/>
        </w:rPr>
      </w:pPr>
      <w:r w:rsidRPr="007C2322">
        <w:rPr>
          <w:sz w:val="24"/>
          <w:szCs w:val="24"/>
        </w:rPr>
        <w:t>Cricket – 11.39% (Cricket Victoria 27%)</w:t>
      </w:r>
    </w:p>
    <w:p w14:paraId="17135849" w14:textId="21963DF7" w:rsidR="00CA4BBF" w:rsidRPr="007C2322" w:rsidRDefault="009F6585" w:rsidP="00CA4BBF">
      <w:pPr>
        <w:pStyle w:val="ListParagraph"/>
        <w:numPr>
          <w:ilvl w:val="0"/>
          <w:numId w:val="2"/>
        </w:numPr>
      </w:pPr>
      <w:r w:rsidRPr="007C2322">
        <w:rPr>
          <w:sz w:val="24"/>
          <w:szCs w:val="24"/>
        </w:rPr>
        <w:t>Basketball 34.7% (Victorian participation not available</w:t>
      </w:r>
      <w:r w:rsidR="00D90BCD" w:rsidRPr="007C2322">
        <w:rPr>
          <w:sz w:val="24"/>
          <w:szCs w:val="24"/>
        </w:rPr>
        <w:t>)</w:t>
      </w:r>
    </w:p>
    <w:tbl>
      <w:tblPr>
        <w:tblStyle w:val="TableGrid"/>
        <w:tblpPr w:leftFromText="180" w:rightFromText="180" w:vertAnchor="text" w:horzAnchor="margin" w:tblpXSpec="center" w:tblpY="275"/>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6"/>
        <w:gridCol w:w="2566"/>
        <w:gridCol w:w="3388"/>
      </w:tblGrid>
      <w:tr w:rsidR="006038BE" w:rsidRPr="006038BE" w14:paraId="2BE04948" w14:textId="77777777" w:rsidTr="00CA4BBF">
        <w:trPr>
          <w:trHeight w:val="284"/>
        </w:trPr>
        <w:tc>
          <w:tcPr>
            <w:tcW w:w="2032" w:type="dxa"/>
          </w:tcPr>
          <w:p w14:paraId="11DB1270" w14:textId="77777777" w:rsidR="006038BE" w:rsidRPr="006038BE" w:rsidRDefault="006038BE" w:rsidP="006038BE">
            <w:pPr>
              <w:rPr>
                <w:sz w:val="23"/>
                <w:szCs w:val="23"/>
              </w:rPr>
            </w:pPr>
            <w:r w:rsidRPr="006038BE">
              <w:rPr>
                <w:sz w:val="23"/>
                <w:szCs w:val="23"/>
              </w:rPr>
              <w:t>Date of Adoption</w:t>
            </w:r>
          </w:p>
        </w:tc>
        <w:tc>
          <w:tcPr>
            <w:tcW w:w="2036" w:type="dxa"/>
          </w:tcPr>
          <w:p w14:paraId="1C5F1D65" w14:textId="77777777" w:rsidR="006038BE" w:rsidRPr="006038BE" w:rsidRDefault="006038BE" w:rsidP="006038BE">
            <w:pPr>
              <w:rPr>
                <w:sz w:val="23"/>
                <w:szCs w:val="23"/>
              </w:rPr>
            </w:pPr>
            <w:r w:rsidRPr="006038BE">
              <w:rPr>
                <w:sz w:val="23"/>
                <w:szCs w:val="23"/>
              </w:rPr>
              <w:t>Next Review Date</w:t>
            </w:r>
          </w:p>
        </w:tc>
        <w:tc>
          <w:tcPr>
            <w:tcW w:w="2566" w:type="dxa"/>
          </w:tcPr>
          <w:p w14:paraId="07F762D8" w14:textId="77777777" w:rsidR="006038BE" w:rsidRPr="006038BE" w:rsidRDefault="006038BE" w:rsidP="006038BE">
            <w:pPr>
              <w:rPr>
                <w:sz w:val="23"/>
                <w:szCs w:val="23"/>
              </w:rPr>
            </w:pPr>
            <w:r w:rsidRPr="006038BE">
              <w:rPr>
                <w:sz w:val="23"/>
                <w:szCs w:val="23"/>
              </w:rPr>
              <w:t>Directorate Responsible</w:t>
            </w:r>
          </w:p>
        </w:tc>
        <w:tc>
          <w:tcPr>
            <w:tcW w:w="3388" w:type="dxa"/>
          </w:tcPr>
          <w:p w14:paraId="38979FF5" w14:textId="77777777" w:rsidR="006038BE" w:rsidRPr="006038BE" w:rsidRDefault="006038BE" w:rsidP="006038BE">
            <w:pPr>
              <w:rPr>
                <w:sz w:val="23"/>
                <w:szCs w:val="23"/>
              </w:rPr>
            </w:pPr>
            <w:r w:rsidRPr="006038BE">
              <w:rPr>
                <w:sz w:val="23"/>
                <w:szCs w:val="23"/>
              </w:rPr>
              <w:t>Department Responsible</w:t>
            </w:r>
          </w:p>
        </w:tc>
      </w:tr>
      <w:tr w:rsidR="006038BE" w:rsidRPr="006038BE" w14:paraId="2E1C3A0A" w14:textId="77777777" w:rsidTr="00CA4BBF">
        <w:trPr>
          <w:trHeight w:val="579"/>
        </w:trPr>
        <w:tc>
          <w:tcPr>
            <w:tcW w:w="2032" w:type="dxa"/>
          </w:tcPr>
          <w:p w14:paraId="56680960" w14:textId="77777777" w:rsidR="006038BE" w:rsidRPr="006038BE" w:rsidRDefault="006038BE" w:rsidP="006038BE">
            <w:pPr>
              <w:rPr>
                <w:color w:val="0070C0"/>
                <w:sz w:val="23"/>
                <w:szCs w:val="23"/>
              </w:rPr>
            </w:pPr>
            <w:r w:rsidRPr="006038BE">
              <w:rPr>
                <w:color w:val="0070C0"/>
                <w:sz w:val="23"/>
                <w:szCs w:val="23"/>
              </w:rPr>
              <w:t>18 June 2024</w:t>
            </w:r>
          </w:p>
        </w:tc>
        <w:tc>
          <w:tcPr>
            <w:tcW w:w="2036" w:type="dxa"/>
          </w:tcPr>
          <w:p w14:paraId="703C86E2" w14:textId="77777777" w:rsidR="006038BE" w:rsidRPr="006038BE" w:rsidRDefault="006038BE" w:rsidP="006038BE">
            <w:pPr>
              <w:rPr>
                <w:color w:val="0070C0"/>
                <w:sz w:val="23"/>
                <w:szCs w:val="23"/>
              </w:rPr>
            </w:pPr>
            <w:r w:rsidRPr="006038BE">
              <w:rPr>
                <w:color w:val="0070C0"/>
                <w:sz w:val="23"/>
                <w:szCs w:val="23"/>
              </w:rPr>
              <w:t>June 2028</w:t>
            </w:r>
          </w:p>
        </w:tc>
        <w:tc>
          <w:tcPr>
            <w:tcW w:w="2566" w:type="dxa"/>
          </w:tcPr>
          <w:p w14:paraId="5D0F723A" w14:textId="77777777" w:rsidR="006038BE" w:rsidRPr="006038BE" w:rsidRDefault="006038BE" w:rsidP="006038BE">
            <w:pPr>
              <w:rPr>
                <w:color w:val="0070C0"/>
                <w:sz w:val="23"/>
                <w:szCs w:val="23"/>
              </w:rPr>
            </w:pPr>
            <w:r w:rsidRPr="006038BE">
              <w:rPr>
                <w:color w:val="0070C0"/>
                <w:sz w:val="23"/>
                <w:szCs w:val="23"/>
              </w:rPr>
              <w:t>Community Wellbeing</w:t>
            </w:r>
          </w:p>
        </w:tc>
        <w:tc>
          <w:tcPr>
            <w:tcW w:w="3388" w:type="dxa"/>
          </w:tcPr>
          <w:p w14:paraId="349E0B17" w14:textId="77777777" w:rsidR="006038BE" w:rsidRPr="006038BE" w:rsidRDefault="006038BE" w:rsidP="006038BE">
            <w:pPr>
              <w:rPr>
                <w:color w:val="0070C0"/>
                <w:sz w:val="23"/>
                <w:szCs w:val="23"/>
              </w:rPr>
            </w:pPr>
            <w:r w:rsidRPr="006038BE">
              <w:rPr>
                <w:color w:val="0070C0"/>
                <w:sz w:val="23"/>
                <w:szCs w:val="23"/>
              </w:rPr>
              <w:t>Active &amp; Creative Communities</w:t>
            </w:r>
          </w:p>
        </w:tc>
      </w:tr>
    </w:tbl>
    <w:p w14:paraId="44163771" w14:textId="77777777" w:rsidR="007C2322" w:rsidRDefault="007C2322" w:rsidP="00D819BF">
      <w:pPr>
        <w:rPr>
          <w:sz w:val="24"/>
          <w:szCs w:val="24"/>
        </w:rPr>
      </w:pPr>
    </w:p>
    <w:p w14:paraId="61B075FA" w14:textId="7784FE21" w:rsidR="00D819BF" w:rsidRPr="00D819BF" w:rsidRDefault="00D819BF" w:rsidP="00D819BF">
      <w:pPr>
        <w:rPr>
          <w:sz w:val="24"/>
          <w:szCs w:val="24"/>
        </w:rPr>
      </w:pPr>
      <w:r w:rsidRPr="00D819BF">
        <w:rPr>
          <w:sz w:val="24"/>
          <w:szCs w:val="24"/>
        </w:rPr>
        <w:t>A reform agenda has been developed by the</w:t>
      </w:r>
      <w:r w:rsidR="007C2322">
        <w:rPr>
          <w:sz w:val="24"/>
          <w:szCs w:val="24"/>
        </w:rPr>
        <w:t xml:space="preserve"> </w:t>
      </w:r>
      <w:r w:rsidRPr="00D819BF">
        <w:rPr>
          <w:sz w:val="24"/>
          <w:szCs w:val="24"/>
        </w:rPr>
        <w:t>Victorian Government to change the systems that have perpetuated gender inequality by designing an enduring structure that requires implementation and tracking of progress over time.</w:t>
      </w:r>
    </w:p>
    <w:p w14:paraId="0E8047FD" w14:textId="49AACF69" w:rsidR="00C97225" w:rsidRDefault="00D819BF" w:rsidP="00D819BF">
      <w:pPr>
        <w:rPr>
          <w:sz w:val="24"/>
          <w:szCs w:val="24"/>
        </w:rPr>
      </w:pPr>
      <w:r w:rsidRPr="00D819BF">
        <w:rPr>
          <w:sz w:val="24"/>
          <w:szCs w:val="24"/>
        </w:rPr>
        <w:t xml:space="preserve">This reform agenda includes addressing the traditional structures and the way community sport and recreation organisations operate through the implementation of all nine (9) recommendations from the </w:t>
      </w:r>
      <w:r w:rsidRPr="00D819BF">
        <w:rPr>
          <w:i/>
          <w:iCs/>
          <w:sz w:val="24"/>
          <w:szCs w:val="24"/>
        </w:rPr>
        <w:t xml:space="preserve">2015 Inquiry into Women and Girls in Sport and Active Recreation. </w:t>
      </w:r>
      <w:r w:rsidRPr="00D819BF">
        <w:rPr>
          <w:sz w:val="24"/>
          <w:szCs w:val="24"/>
        </w:rPr>
        <w:t>This includes recommendation six (6) which includes:</w:t>
      </w:r>
    </w:p>
    <w:p w14:paraId="705A5344" w14:textId="556EE5EA" w:rsidR="00D819BF" w:rsidRDefault="00D819BF" w:rsidP="00D819BF">
      <w:pPr>
        <w:ind w:left="720"/>
        <w:rPr>
          <w:i/>
          <w:iCs/>
          <w:sz w:val="24"/>
          <w:szCs w:val="24"/>
        </w:rPr>
      </w:pPr>
      <w:r w:rsidRPr="00D819BF">
        <w:rPr>
          <w:i/>
          <w:iCs/>
          <w:sz w:val="24"/>
          <w:szCs w:val="24"/>
        </w:rPr>
        <w:t>“…encourage facility owners and managers to review access and usage policies to ensure women and girls have a fair share of access to the highest quality facilities at the best and most popular times”.</w:t>
      </w:r>
    </w:p>
    <w:p w14:paraId="7737E0A8" w14:textId="50E92F02" w:rsidR="00BA410B" w:rsidRDefault="00BA410B" w:rsidP="00BA410B">
      <w:pPr>
        <w:rPr>
          <w:sz w:val="24"/>
          <w:szCs w:val="24"/>
        </w:rPr>
      </w:pPr>
      <w:r w:rsidRPr="00BA410B">
        <w:rPr>
          <w:sz w:val="24"/>
          <w:szCs w:val="24"/>
        </w:rPr>
        <w:t>In response, the Council has designed a Fair Access Policy that will guide the necessary and proportionate steps towards achieving gender equitable access and usage of community sports infrastructure. This Policy establishes Council’s expectation that gender equality is considered and prioritised in all current and future Council recreation planning, policy, service delivery and practice as they relate to community sports infrastructure.</w:t>
      </w:r>
    </w:p>
    <w:p w14:paraId="77EFFAF3" w14:textId="7AE14D1E" w:rsidR="00BA410B" w:rsidRDefault="00BA410B" w:rsidP="00BA410B">
      <w:pPr>
        <w:rPr>
          <w:sz w:val="24"/>
          <w:szCs w:val="24"/>
        </w:rPr>
      </w:pPr>
      <w:r w:rsidRPr="00BA410B">
        <w:rPr>
          <w:sz w:val="24"/>
          <w:szCs w:val="24"/>
        </w:rPr>
        <w:t xml:space="preserve">The Fair Access Policy will require sporting clubs to participate in education, consultation and undertake gender equity audits and develop gender equity action plans to increase participation by women and girls as players, </w:t>
      </w:r>
      <w:proofErr w:type="gramStart"/>
      <w:r w:rsidRPr="00BA410B">
        <w:rPr>
          <w:sz w:val="24"/>
          <w:szCs w:val="24"/>
        </w:rPr>
        <w:t>coaches</w:t>
      </w:r>
      <w:proofErr w:type="gramEnd"/>
      <w:r w:rsidRPr="00BA410B">
        <w:rPr>
          <w:sz w:val="24"/>
          <w:szCs w:val="24"/>
        </w:rPr>
        <w:t xml:space="preserve"> and committee members. Council officers will provide education and training modules which will include equity, participation, responsibilities and safe environments, gender audit and action planning.</w:t>
      </w:r>
    </w:p>
    <w:p w14:paraId="59208C7C" w14:textId="59C15A30" w:rsidR="00BA410B" w:rsidRDefault="00BA410B" w:rsidP="00BA410B">
      <w:pPr>
        <w:rPr>
          <w:sz w:val="24"/>
          <w:szCs w:val="24"/>
        </w:rPr>
      </w:pPr>
      <w:r w:rsidRPr="00BA410B">
        <w:rPr>
          <w:sz w:val="24"/>
          <w:szCs w:val="24"/>
        </w:rPr>
        <w:t xml:space="preserve">Sporting clubs will be required to report annually on how they are aligning with the Fair Access Policy as well as provide progress reports at designated intervals on the progress of their Gender Equity Action Plans. Clubs who do not align with the Fair Access Policy or undertake and achieve progress in gender equity action plans will not be prioritised ground allocations, capital works projects, </w:t>
      </w:r>
      <w:proofErr w:type="gramStart"/>
      <w:r w:rsidRPr="00BA410B">
        <w:rPr>
          <w:sz w:val="24"/>
          <w:szCs w:val="24"/>
        </w:rPr>
        <w:t>funding</w:t>
      </w:r>
      <w:proofErr w:type="gramEnd"/>
      <w:r w:rsidRPr="00BA410B">
        <w:rPr>
          <w:sz w:val="24"/>
          <w:szCs w:val="24"/>
        </w:rPr>
        <w:t xml:space="preserve"> or subsidies on facility allocations.</w:t>
      </w:r>
    </w:p>
    <w:p w14:paraId="60DA7E8A" w14:textId="77777777" w:rsidR="001F39A1" w:rsidRDefault="001F39A1" w:rsidP="00BA410B">
      <w:pPr>
        <w:rPr>
          <w:sz w:val="24"/>
          <w:szCs w:val="24"/>
        </w:rPr>
      </w:pPr>
    </w:p>
    <w:p w14:paraId="4194DD86" w14:textId="77777777" w:rsidR="001F39A1" w:rsidRPr="001F39A1" w:rsidRDefault="001F39A1" w:rsidP="001F39A1">
      <w:pPr>
        <w:rPr>
          <w:b/>
          <w:bCs/>
          <w:sz w:val="24"/>
          <w:szCs w:val="24"/>
        </w:rPr>
      </w:pPr>
      <w:r w:rsidRPr="001F39A1">
        <w:rPr>
          <w:b/>
          <w:bCs/>
          <w:sz w:val="24"/>
          <w:szCs w:val="24"/>
        </w:rPr>
        <w:t>Scope</w:t>
      </w:r>
    </w:p>
    <w:p w14:paraId="4AA7D446" w14:textId="7030E46B" w:rsidR="001F39A1" w:rsidRDefault="001F39A1" w:rsidP="001F39A1">
      <w:pPr>
        <w:rPr>
          <w:sz w:val="24"/>
          <w:szCs w:val="24"/>
        </w:rPr>
      </w:pPr>
      <w:r w:rsidRPr="001F39A1">
        <w:rPr>
          <w:sz w:val="24"/>
          <w:szCs w:val="24"/>
        </w:rPr>
        <w:t>This policy applies to Council officers, sports clubs and associations allocated Council Sporting infrastructure.</w:t>
      </w:r>
    </w:p>
    <w:p w14:paraId="259EBB22" w14:textId="374936C9" w:rsidR="007C2322" w:rsidRDefault="007C2322" w:rsidP="001F39A1">
      <w:pPr>
        <w:rPr>
          <w:sz w:val="24"/>
          <w:szCs w:val="24"/>
        </w:rPr>
      </w:pPr>
      <w:r>
        <w:rPr>
          <w:sz w:val="24"/>
          <w:szCs w:val="24"/>
        </w:rPr>
        <w:br/>
      </w:r>
    </w:p>
    <w:tbl>
      <w:tblPr>
        <w:tblStyle w:val="TableGrid"/>
        <w:tblpPr w:leftFromText="180" w:rightFromText="180" w:vertAnchor="text" w:horzAnchor="margin" w:tblpXSpec="center" w:tblpY="275"/>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6"/>
        <w:gridCol w:w="2566"/>
        <w:gridCol w:w="3388"/>
      </w:tblGrid>
      <w:tr w:rsidR="001F39A1" w:rsidRPr="006038BE" w14:paraId="63DAEF6F" w14:textId="77777777" w:rsidTr="00B407C0">
        <w:trPr>
          <w:trHeight w:val="284"/>
        </w:trPr>
        <w:tc>
          <w:tcPr>
            <w:tcW w:w="2032" w:type="dxa"/>
          </w:tcPr>
          <w:p w14:paraId="28ADE58E" w14:textId="77777777" w:rsidR="001F39A1" w:rsidRPr="006038BE" w:rsidRDefault="001F39A1" w:rsidP="00B407C0">
            <w:pPr>
              <w:rPr>
                <w:sz w:val="23"/>
                <w:szCs w:val="23"/>
              </w:rPr>
            </w:pPr>
            <w:r w:rsidRPr="006038BE">
              <w:rPr>
                <w:sz w:val="23"/>
                <w:szCs w:val="23"/>
              </w:rPr>
              <w:t>Date of Adoption</w:t>
            </w:r>
          </w:p>
        </w:tc>
        <w:tc>
          <w:tcPr>
            <w:tcW w:w="2036" w:type="dxa"/>
          </w:tcPr>
          <w:p w14:paraId="324C34C1" w14:textId="77777777" w:rsidR="001F39A1" w:rsidRPr="006038BE" w:rsidRDefault="001F39A1" w:rsidP="00B407C0">
            <w:pPr>
              <w:rPr>
                <w:sz w:val="23"/>
                <w:szCs w:val="23"/>
              </w:rPr>
            </w:pPr>
            <w:r w:rsidRPr="006038BE">
              <w:rPr>
                <w:sz w:val="23"/>
                <w:szCs w:val="23"/>
              </w:rPr>
              <w:t>Next Review Date</w:t>
            </w:r>
          </w:p>
        </w:tc>
        <w:tc>
          <w:tcPr>
            <w:tcW w:w="2566" w:type="dxa"/>
          </w:tcPr>
          <w:p w14:paraId="3090A47C" w14:textId="77777777" w:rsidR="001F39A1" w:rsidRPr="006038BE" w:rsidRDefault="001F39A1" w:rsidP="00B407C0">
            <w:pPr>
              <w:rPr>
                <w:sz w:val="23"/>
                <w:szCs w:val="23"/>
              </w:rPr>
            </w:pPr>
            <w:r w:rsidRPr="006038BE">
              <w:rPr>
                <w:sz w:val="23"/>
                <w:szCs w:val="23"/>
              </w:rPr>
              <w:t>Directorate Responsible</w:t>
            </w:r>
          </w:p>
        </w:tc>
        <w:tc>
          <w:tcPr>
            <w:tcW w:w="3388" w:type="dxa"/>
          </w:tcPr>
          <w:p w14:paraId="3802F0C1" w14:textId="77777777" w:rsidR="001F39A1" w:rsidRPr="006038BE" w:rsidRDefault="001F39A1" w:rsidP="00B407C0">
            <w:pPr>
              <w:rPr>
                <w:sz w:val="23"/>
                <w:szCs w:val="23"/>
              </w:rPr>
            </w:pPr>
            <w:r w:rsidRPr="006038BE">
              <w:rPr>
                <w:sz w:val="23"/>
                <w:szCs w:val="23"/>
              </w:rPr>
              <w:t>Department Responsible</w:t>
            </w:r>
          </w:p>
        </w:tc>
      </w:tr>
      <w:tr w:rsidR="001F39A1" w:rsidRPr="006038BE" w14:paraId="20C81B0A" w14:textId="77777777" w:rsidTr="00B407C0">
        <w:trPr>
          <w:trHeight w:val="579"/>
        </w:trPr>
        <w:tc>
          <w:tcPr>
            <w:tcW w:w="2032" w:type="dxa"/>
          </w:tcPr>
          <w:p w14:paraId="61204E90" w14:textId="77777777" w:rsidR="001F39A1" w:rsidRPr="006038BE" w:rsidRDefault="001F39A1" w:rsidP="00B407C0">
            <w:pPr>
              <w:rPr>
                <w:color w:val="0070C0"/>
                <w:sz w:val="23"/>
                <w:szCs w:val="23"/>
              </w:rPr>
            </w:pPr>
            <w:r w:rsidRPr="006038BE">
              <w:rPr>
                <w:color w:val="0070C0"/>
                <w:sz w:val="23"/>
                <w:szCs w:val="23"/>
              </w:rPr>
              <w:t>18 June 2024</w:t>
            </w:r>
          </w:p>
        </w:tc>
        <w:tc>
          <w:tcPr>
            <w:tcW w:w="2036" w:type="dxa"/>
          </w:tcPr>
          <w:p w14:paraId="2F72D0F7" w14:textId="77777777" w:rsidR="001F39A1" w:rsidRPr="006038BE" w:rsidRDefault="001F39A1" w:rsidP="00B407C0">
            <w:pPr>
              <w:rPr>
                <w:color w:val="0070C0"/>
                <w:sz w:val="23"/>
                <w:szCs w:val="23"/>
              </w:rPr>
            </w:pPr>
            <w:r w:rsidRPr="006038BE">
              <w:rPr>
                <w:color w:val="0070C0"/>
                <w:sz w:val="23"/>
                <w:szCs w:val="23"/>
              </w:rPr>
              <w:t>June 2028</w:t>
            </w:r>
          </w:p>
        </w:tc>
        <w:tc>
          <w:tcPr>
            <w:tcW w:w="2566" w:type="dxa"/>
          </w:tcPr>
          <w:p w14:paraId="62C767B9" w14:textId="77777777" w:rsidR="001F39A1" w:rsidRPr="006038BE" w:rsidRDefault="001F39A1" w:rsidP="00B407C0">
            <w:pPr>
              <w:rPr>
                <w:color w:val="0070C0"/>
                <w:sz w:val="23"/>
                <w:szCs w:val="23"/>
              </w:rPr>
            </w:pPr>
            <w:r w:rsidRPr="006038BE">
              <w:rPr>
                <w:color w:val="0070C0"/>
                <w:sz w:val="23"/>
                <w:szCs w:val="23"/>
              </w:rPr>
              <w:t>Community Wellbeing</w:t>
            </w:r>
          </w:p>
        </w:tc>
        <w:tc>
          <w:tcPr>
            <w:tcW w:w="3388" w:type="dxa"/>
          </w:tcPr>
          <w:p w14:paraId="16E315CD" w14:textId="77777777" w:rsidR="001F39A1" w:rsidRPr="006038BE" w:rsidRDefault="001F39A1" w:rsidP="00B407C0">
            <w:pPr>
              <w:rPr>
                <w:color w:val="0070C0"/>
                <w:sz w:val="23"/>
                <w:szCs w:val="23"/>
              </w:rPr>
            </w:pPr>
            <w:r w:rsidRPr="006038BE">
              <w:rPr>
                <w:color w:val="0070C0"/>
                <w:sz w:val="23"/>
                <w:szCs w:val="23"/>
              </w:rPr>
              <w:t>Active &amp; Creative Communities</w:t>
            </w:r>
          </w:p>
        </w:tc>
      </w:tr>
    </w:tbl>
    <w:p w14:paraId="0C2230D3" w14:textId="77777777" w:rsidR="007C2322" w:rsidRDefault="007C2322" w:rsidP="0048114C">
      <w:pPr>
        <w:rPr>
          <w:b/>
          <w:bCs/>
          <w:sz w:val="24"/>
          <w:szCs w:val="24"/>
        </w:rPr>
      </w:pPr>
    </w:p>
    <w:p w14:paraId="4F2B4E18" w14:textId="1EB7CC38" w:rsidR="0048114C" w:rsidRPr="0048114C" w:rsidRDefault="0048114C" w:rsidP="0048114C">
      <w:pPr>
        <w:rPr>
          <w:b/>
          <w:bCs/>
          <w:sz w:val="24"/>
          <w:szCs w:val="24"/>
        </w:rPr>
      </w:pPr>
      <w:r w:rsidRPr="0048114C">
        <w:rPr>
          <w:b/>
          <w:bCs/>
          <w:sz w:val="24"/>
          <w:szCs w:val="24"/>
        </w:rPr>
        <w:t>Alignment to Whittlesea 2040</w:t>
      </w:r>
    </w:p>
    <w:p w14:paraId="470F1538" w14:textId="4B5FBD78" w:rsidR="001F39A1" w:rsidRDefault="0048114C" w:rsidP="0048114C">
      <w:pPr>
        <w:rPr>
          <w:b/>
          <w:bCs/>
          <w:sz w:val="24"/>
          <w:szCs w:val="24"/>
        </w:rPr>
      </w:pPr>
      <w:r w:rsidRPr="0048114C">
        <w:rPr>
          <w:sz w:val="24"/>
          <w:szCs w:val="24"/>
        </w:rPr>
        <w:t xml:space="preserve">The Fair Access Policy primarily guides Council’s work toward the following Goal as outlined in </w:t>
      </w:r>
      <w:r w:rsidRPr="0048114C">
        <w:rPr>
          <w:i/>
          <w:iCs/>
          <w:sz w:val="24"/>
          <w:szCs w:val="24"/>
        </w:rPr>
        <w:t>Whittlesea 2040: A place for all:</w:t>
      </w:r>
      <w:r w:rsidRPr="0048114C">
        <w:rPr>
          <w:sz w:val="24"/>
          <w:szCs w:val="24"/>
        </w:rPr>
        <w:t xml:space="preserve"> </w:t>
      </w:r>
      <w:r w:rsidRPr="0048114C">
        <w:rPr>
          <w:b/>
          <w:bCs/>
          <w:sz w:val="24"/>
          <w:szCs w:val="24"/>
        </w:rPr>
        <w:t>Connected Community</w:t>
      </w:r>
    </w:p>
    <w:p w14:paraId="7D88627F" w14:textId="77777777" w:rsidR="0048114C" w:rsidRPr="0048114C" w:rsidRDefault="0048114C" w:rsidP="0048114C">
      <w:pPr>
        <w:rPr>
          <w:sz w:val="24"/>
          <w:szCs w:val="24"/>
        </w:rPr>
      </w:pPr>
      <w:r w:rsidRPr="0048114C">
        <w:rPr>
          <w:sz w:val="24"/>
          <w:szCs w:val="24"/>
        </w:rPr>
        <w:t xml:space="preserve">This Policy enables effective and efficient integration of the requirements of the </w:t>
      </w:r>
      <w:r w:rsidRPr="0048114C">
        <w:rPr>
          <w:i/>
          <w:iCs/>
          <w:sz w:val="24"/>
          <w:szCs w:val="24"/>
        </w:rPr>
        <w:t>Gender Equality Act 2020,</w:t>
      </w:r>
      <w:r w:rsidRPr="0048114C">
        <w:rPr>
          <w:sz w:val="24"/>
          <w:szCs w:val="24"/>
        </w:rPr>
        <w:t xml:space="preserve"> the </w:t>
      </w:r>
      <w:r w:rsidRPr="0048114C">
        <w:rPr>
          <w:i/>
          <w:iCs/>
          <w:sz w:val="24"/>
          <w:szCs w:val="24"/>
        </w:rPr>
        <w:t>Local Government Act 2020</w:t>
      </w:r>
      <w:r w:rsidRPr="0048114C">
        <w:rPr>
          <w:sz w:val="24"/>
          <w:szCs w:val="24"/>
        </w:rPr>
        <w:t xml:space="preserve"> and the </w:t>
      </w:r>
      <w:r w:rsidRPr="0048114C">
        <w:rPr>
          <w:i/>
          <w:iCs/>
          <w:sz w:val="24"/>
          <w:szCs w:val="24"/>
        </w:rPr>
        <w:t>Public Health and Wellbeing Act 2008.</w:t>
      </w:r>
      <w:r w:rsidRPr="0048114C">
        <w:rPr>
          <w:sz w:val="24"/>
          <w:szCs w:val="24"/>
        </w:rPr>
        <w:t xml:space="preserve"> Providing safe and connected spaces for everyone to access sporting infrastructure.</w:t>
      </w:r>
    </w:p>
    <w:p w14:paraId="1F9C11D6" w14:textId="7437A7CE" w:rsidR="0048114C" w:rsidRDefault="0048114C" w:rsidP="0048114C">
      <w:pPr>
        <w:rPr>
          <w:sz w:val="24"/>
          <w:szCs w:val="24"/>
        </w:rPr>
      </w:pPr>
      <w:r w:rsidRPr="0048114C">
        <w:rPr>
          <w:sz w:val="24"/>
          <w:szCs w:val="24"/>
        </w:rPr>
        <w:t>Additionally, this Policy is informed by:</w:t>
      </w:r>
    </w:p>
    <w:p w14:paraId="0B845D92" w14:textId="373FB1E2" w:rsidR="00393EEF" w:rsidRPr="00393EEF" w:rsidRDefault="00393EEF" w:rsidP="00393EEF">
      <w:pPr>
        <w:pStyle w:val="ListParagraph"/>
        <w:numPr>
          <w:ilvl w:val="0"/>
          <w:numId w:val="3"/>
        </w:numPr>
        <w:rPr>
          <w:sz w:val="24"/>
          <w:szCs w:val="24"/>
        </w:rPr>
      </w:pPr>
      <w:r w:rsidRPr="00393EEF">
        <w:rPr>
          <w:sz w:val="24"/>
          <w:szCs w:val="24"/>
        </w:rPr>
        <w:t>Connected Communities Strategy</w:t>
      </w:r>
    </w:p>
    <w:p w14:paraId="700659FE" w14:textId="219803F8" w:rsidR="00393EEF" w:rsidRPr="00393EEF" w:rsidRDefault="00393EEF" w:rsidP="00393EEF">
      <w:pPr>
        <w:pStyle w:val="ListParagraph"/>
        <w:numPr>
          <w:ilvl w:val="0"/>
          <w:numId w:val="3"/>
        </w:numPr>
        <w:rPr>
          <w:sz w:val="24"/>
          <w:szCs w:val="24"/>
        </w:rPr>
      </w:pPr>
      <w:r w:rsidRPr="00393EEF">
        <w:rPr>
          <w:sz w:val="24"/>
          <w:szCs w:val="24"/>
        </w:rPr>
        <w:t>City of Whittlesea Community Plan</w:t>
      </w:r>
    </w:p>
    <w:p w14:paraId="3EB748B4" w14:textId="5FDD04E7" w:rsidR="00393EEF" w:rsidRPr="00393EEF" w:rsidRDefault="00393EEF" w:rsidP="00393EEF">
      <w:pPr>
        <w:pStyle w:val="ListParagraph"/>
        <w:numPr>
          <w:ilvl w:val="0"/>
          <w:numId w:val="3"/>
        </w:numPr>
        <w:rPr>
          <w:sz w:val="24"/>
          <w:szCs w:val="24"/>
        </w:rPr>
      </w:pPr>
      <w:r w:rsidRPr="00393EEF">
        <w:rPr>
          <w:sz w:val="24"/>
          <w:szCs w:val="24"/>
        </w:rPr>
        <w:t>Long Term Community Infrastructure Plan</w:t>
      </w:r>
    </w:p>
    <w:p w14:paraId="186CFCBB" w14:textId="3D11FA85" w:rsidR="00393EEF" w:rsidRPr="00393EEF" w:rsidRDefault="00393EEF" w:rsidP="00393EEF">
      <w:pPr>
        <w:pStyle w:val="ListParagraph"/>
        <w:numPr>
          <w:ilvl w:val="0"/>
          <w:numId w:val="3"/>
        </w:numPr>
        <w:rPr>
          <w:sz w:val="24"/>
          <w:szCs w:val="24"/>
        </w:rPr>
      </w:pPr>
      <w:r w:rsidRPr="00393EEF">
        <w:rPr>
          <w:sz w:val="24"/>
          <w:szCs w:val="24"/>
        </w:rPr>
        <w:t>Victorian Fair Access Policy Roadmap</w:t>
      </w:r>
    </w:p>
    <w:p w14:paraId="0CF7F8AC" w14:textId="75C489AB" w:rsidR="00393EEF" w:rsidRDefault="00393EEF" w:rsidP="00393EEF">
      <w:pPr>
        <w:pStyle w:val="ListParagraph"/>
        <w:numPr>
          <w:ilvl w:val="0"/>
          <w:numId w:val="3"/>
        </w:numPr>
        <w:rPr>
          <w:sz w:val="24"/>
          <w:szCs w:val="24"/>
        </w:rPr>
      </w:pPr>
      <w:r w:rsidRPr="00393EEF">
        <w:rPr>
          <w:sz w:val="24"/>
          <w:szCs w:val="24"/>
        </w:rPr>
        <w:t>Active Whittlesea Strategy 2021</w:t>
      </w:r>
    </w:p>
    <w:p w14:paraId="4874C2DF" w14:textId="77777777" w:rsidR="00393EEF" w:rsidRPr="00393EEF" w:rsidRDefault="00393EEF" w:rsidP="00393EEF">
      <w:pPr>
        <w:rPr>
          <w:b/>
          <w:bCs/>
          <w:sz w:val="24"/>
          <w:szCs w:val="24"/>
        </w:rPr>
      </w:pPr>
      <w:r w:rsidRPr="00393EEF">
        <w:rPr>
          <w:b/>
          <w:bCs/>
          <w:sz w:val="24"/>
          <w:szCs w:val="24"/>
        </w:rPr>
        <w:t>Overarching Governance Principles</w:t>
      </w:r>
    </w:p>
    <w:p w14:paraId="3FFCE957" w14:textId="4264BF73" w:rsidR="00393EEF" w:rsidRDefault="00393EEF" w:rsidP="00393EEF">
      <w:pPr>
        <w:rPr>
          <w:sz w:val="24"/>
          <w:szCs w:val="24"/>
        </w:rPr>
      </w:pPr>
      <w:r w:rsidRPr="00393EEF">
        <w:rPr>
          <w:sz w:val="24"/>
          <w:szCs w:val="24"/>
        </w:rPr>
        <w:t>The development of this Policy considered the Local Government Act 2020’s Overarching Governance Principles and the following were applied:</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80"/>
        <w:gridCol w:w="567"/>
        <w:gridCol w:w="1985"/>
        <w:gridCol w:w="680"/>
        <w:gridCol w:w="569"/>
        <w:gridCol w:w="1983"/>
        <w:gridCol w:w="682"/>
      </w:tblGrid>
      <w:tr w:rsidR="00854208" w14:paraId="0FFF0CF6" w14:textId="77777777" w:rsidTr="00B407C0">
        <w:trPr>
          <w:trHeight w:val="727"/>
        </w:trPr>
        <w:tc>
          <w:tcPr>
            <w:tcW w:w="1985" w:type="dxa"/>
          </w:tcPr>
          <w:p w14:paraId="0BC83E50" w14:textId="77777777" w:rsidR="00854208" w:rsidRDefault="00854208" w:rsidP="00B407C0">
            <w:pPr>
              <w:pStyle w:val="TableParagraph"/>
              <w:spacing w:before="14"/>
              <w:rPr>
                <w:rFonts w:ascii="Liberation Sans Narrow"/>
                <w:sz w:val="20"/>
              </w:rPr>
            </w:pPr>
          </w:p>
          <w:p w14:paraId="1C0B2B74" w14:textId="77777777" w:rsidR="00854208" w:rsidRDefault="00854208" w:rsidP="00B407C0">
            <w:pPr>
              <w:pStyle w:val="TableParagraph"/>
              <w:ind w:left="107"/>
              <w:rPr>
                <w:b/>
                <w:sz w:val="20"/>
              </w:rPr>
            </w:pPr>
            <w:r>
              <w:rPr>
                <w:b/>
                <w:spacing w:val="-2"/>
                <w:sz w:val="20"/>
              </w:rPr>
              <w:t>Lawful</w:t>
            </w:r>
          </w:p>
        </w:tc>
        <w:tc>
          <w:tcPr>
            <w:tcW w:w="680" w:type="dxa"/>
          </w:tcPr>
          <w:p w14:paraId="738EC7F0" w14:textId="77777777" w:rsidR="00854208" w:rsidRDefault="00854208" w:rsidP="00B407C0">
            <w:pPr>
              <w:pStyle w:val="TableParagraph"/>
              <w:spacing w:before="168"/>
              <w:ind w:left="7"/>
              <w:jc w:val="center"/>
              <w:rPr>
                <w:rFonts w:ascii="VL PGothic" w:hAnsi="VL PGothic"/>
                <w:sz w:val="28"/>
              </w:rPr>
            </w:pPr>
            <w:r>
              <w:rPr>
                <w:rFonts w:ascii="VL PGothic" w:hAnsi="VL PGothic"/>
                <w:spacing w:val="-10"/>
                <w:w w:val="95"/>
                <w:sz w:val="28"/>
              </w:rPr>
              <w:t>☒</w:t>
            </w:r>
          </w:p>
        </w:tc>
        <w:tc>
          <w:tcPr>
            <w:tcW w:w="567" w:type="dxa"/>
            <w:vMerge w:val="restart"/>
            <w:tcBorders>
              <w:top w:val="nil"/>
              <w:bottom w:val="nil"/>
            </w:tcBorders>
          </w:tcPr>
          <w:p w14:paraId="479925BB" w14:textId="77777777" w:rsidR="00854208" w:rsidRDefault="00854208" w:rsidP="00B407C0">
            <w:pPr>
              <w:pStyle w:val="TableParagraph"/>
              <w:rPr>
                <w:rFonts w:ascii="Times New Roman"/>
              </w:rPr>
            </w:pPr>
          </w:p>
        </w:tc>
        <w:tc>
          <w:tcPr>
            <w:tcW w:w="1985" w:type="dxa"/>
          </w:tcPr>
          <w:p w14:paraId="59494994" w14:textId="77777777" w:rsidR="00854208" w:rsidRDefault="00854208" w:rsidP="00B407C0">
            <w:pPr>
              <w:pStyle w:val="TableParagraph"/>
              <w:spacing w:before="119"/>
              <w:ind w:left="106"/>
              <w:rPr>
                <w:b/>
                <w:sz w:val="20"/>
              </w:rPr>
            </w:pPr>
            <w:r>
              <w:rPr>
                <w:b/>
                <w:spacing w:val="-2"/>
                <w:sz w:val="20"/>
              </w:rPr>
              <w:t>Community engagement</w:t>
            </w:r>
          </w:p>
        </w:tc>
        <w:tc>
          <w:tcPr>
            <w:tcW w:w="680" w:type="dxa"/>
          </w:tcPr>
          <w:p w14:paraId="6B989A04" w14:textId="77777777" w:rsidR="00854208" w:rsidRDefault="00854208" w:rsidP="00B407C0">
            <w:pPr>
              <w:pStyle w:val="TableParagraph"/>
              <w:spacing w:before="168"/>
              <w:ind w:left="7" w:right="1"/>
              <w:jc w:val="center"/>
              <w:rPr>
                <w:rFonts w:ascii="VL PGothic" w:hAnsi="VL PGothic"/>
                <w:sz w:val="28"/>
              </w:rPr>
            </w:pPr>
            <w:r>
              <w:rPr>
                <w:rFonts w:ascii="VL PGothic" w:hAnsi="VL PGothic"/>
                <w:spacing w:val="-10"/>
                <w:w w:val="95"/>
                <w:sz w:val="28"/>
              </w:rPr>
              <w:t>☒</w:t>
            </w:r>
          </w:p>
        </w:tc>
        <w:tc>
          <w:tcPr>
            <w:tcW w:w="569" w:type="dxa"/>
            <w:vMerge w:val="restart"/>
            <w:tcBorders>
              <w:top w:val="nil"/>
              <w:bottom w:val="nil"/>
            </w:tcBorders>
          </w:tcPr>
          <w:p w14:paraId="585970D4" w14:textId="77777777" w:rsidR="00854208" w:rsidRDefault="00854208" w:rsidP="00B407C0">
            <w:pPr>
              <w:pStyle w:val="TableParagraph"/>
              <w:rPr>
                <w:rFonts w:ascii="Times New Roman"/>
              </w:rPr>
            </w:pPr>
          </w:p>
        </w:tc>
        <w:tc>
          <w:tcPr>
            <w:tcW w:w="1983" w:type="dxa"/>
          </w:tcPr>
          <w:p w14:paraId="7A4A6C13" w14:textId="77777777" w:rsidR="00854208" w:rsidRDefault="00854208" w:rsidP="00B407C0">
            <w:pPr>
              <w:pStyle w:val="TableParagraph"/>
              <w:spacing w:before="14"/>
              <w:rPr>
                <w:rFonts w:ascii="Liberation Sans Narrow"/>
                <w:sz w:val="20"/>
              </w:rPr>
            </w:pPr>
          </w:p>
          <w:p w14:paraId="142106CC" w14:textId="77777777" w:rsidR="00854208" w:rsidRDefault="00854208" w:rsidP="00B407C0">
            <w:pPr>
              <w:pStyle w:val="TableParagraph"/>
              <w:ind w:left="105"/>
              <w:rPr>
                <w:b/>
                <w:sz w:val="20"/>
              </w:rPr>
            </w:pPr>
            <w:r>
              <w:rPr>
                <w:b/>
                <w:spacing w:val="-2"/>
                <w:sz w:val="20"/>
              </w:rPr>
              <w:t>Financially</w:t>
            </w:r>
            <w:r>
              <w:rPr>
                <w:b/>
                <w:spacing w:val="9"/>
                <w:sz w:val="20"/>
              </w:rPr>
              <w:t xml:space="preserve"> </w:t>
            </w:r>
            <w:r>
              <w:rPr>
                <w:b/>
                <w:spacing w:val="-2"/>
                <w:sz w:val="20"/>
              </w:rPr>
              <w:t>viable</w:t>
            </w:r>
          </w:p>
        </w:tc>
        <w:tc>
          <w:tcPr>
            <w:tcW w:w="682" w:type="dxa"/>
          </w:tcPr>
          <w:p w14:paraId="520E772E" w14:textId="77777777" w:rsidR="00854208" w:rsidRDefault="00854208" w:rsidP="00B407C0">
            <w:pPr>
              <w:pStyle w:val="TableParagraph"/>
              <w:spacing w:before="168"/>
              <w:ind w:left="2"/>
              <w:jc w:val="center"/>
              <w:rPr>
                <w:rFonts w:ascii="VL PGothic" w:hAnsi="VL PGothic"/>
                <w:sz w:val="28"/>
              </w:rPr>
            </w:pPr>
            <w:r>
              <w:rPr>
                <w:rFonts w:ascii="VL PGothic" w:hAnsi="VL PGothic"/>
                <w:spacing w:val="-10"/>
                <w:w w:val="95"/>
                <w:sz w:val="28"/>
              </w:rPr>
              <w:t>☐</w:t>
            </w:r>
          </w:p>
        </w:tc>
      </w:tr>
      <w:tr w:rsidR="00854208" w14:paraId="7E3D5443" w14:textId="77777777" w:rsidTr="00B407C0">
        <w:trPr>
          <w:trHeight w:val="729"/>
        </w:trPr>
        <w:tc>
          <w:tcPr>
            <w:tcW w:w="1985" w:type="dxa"/>
          </w:tcPr>
          <w:p w14:paraId="46A0E666" w14:textId="77777777" w:rsidR="00854208" w:rsidRDefault="00854208" w:rsidP="00B407C0">
            <w:pPr>
              <w:pStyle w:val="TableParagraph"/>
              <w:spacing w:before="121"/>
              <w:ind w:left="107" w:right="508"/>
              <w:rPr>
                <w:b/>
                <w:sz w:val="20"/>
              </w:rPr>
            </w:pPr>
            <w:r>
              <w:rPr>
                <w:b/>
                <w:sz w:val="20"/>
              </w:rPr>
              <w:t>Best</w:t>
            </w:r>
            <w:r>
              <w:rPr>
                <w:b/>
                <w:spacing w:val="-12"/>
                <w:sz w:val="20"/>
              </w:rPr>
              <w:t xml:space="preserve"> </w:t>
            </w:r>
            <w:r>
              <w:rPr>
                <w:b/>
                <w:sz w:val="20"/>
              </w:rPr>
              <w:t xml:space="preserve">community </w:t>
            </w:r>
            <w:r>
              <w:rPr>
                <w:b/>
                <w:spacing w:val="-2"/>
                <w:sz w:val="20"/>
              </w:rPr>
              <w:t>outcome</w:t>
            </w:r>
          </w:p>
        </w:tc>
        <w:tc>
          <w:tcPr>
            <w:tcW w:w="680" w:type="dxa"/>
          </w:tcPr>
          <w:p w14:paraId="25B3B744" w14:textId="77777777" w:rsidR="00854208" w:rsidRDefault="00854208" w:rsidP="00B407C0">
            <w:pPr>
              <w:pStyle w:val="TableParagraph"/>
              <w:spacing w:before="168"/>
              <w:ind w:left="7"/>
              <w:jc w:val="center"/>
              <w:rPr>
                <w:rFonts w:ascii="VL PGothic" w:hAnsi="VL PGothic"/>
                <w:sz w:val="28"/>
              </w:rPr>
            </w:pPr>
            <w:r>
              <w:rPr>
                <w:rFonts w:ascii="VL PGothic" w:hAnsi="VL PGothic"/>
                <w:spacing w:val="-10"/>
                <w:w w:val="95"/>
                <w:sz w:val="28"/>
              </w:rPr>
              <w:t>☒</w:t>
            </w:r>
          </w:p>
        </w:tc>
        <w:tc>
          <w:tcPr>
            <w:tcW w:w="567" w:type="dxa"/>
            <w:vMerge/>
            <w:tcBorders>
              <w:top w:val="nil"/>
              <w:bottom w:val="nil"/>
            </w:tcBorders>
          </w:tcPr>
          <w:p w14:paraId="7A8A67DE" w14:textId="77777777" w:rsidR="00854208" w:rsidRDefault="00854208" w:rsidP="00B407C0">
            <w:pPr>
              <w:rPr>
                <w:sz w:val="2"/>
                <w:szCs w:val="2"/>
              </w:rPr>
            </w:pPr>
          </w:p>
        </w:tc>
        <w:tc>
          <w:tcPr>
            <w:tcW w:w="1985" w:type="dxa"/>
          </w:tcPr>
          <w:p w14:paraId="2ABFAA62" w14:textId="77777777" w:rsidR="00854208" w:rsidRDefault="00854208" w:rsidP="00B407C0">
            <w:pPr>
              <w:pStyle w:val="TableParagraph"/>
              <w:spacing w:before="121"/>
              <w:ind w:left="106"/>
              <w:rPr>
                <w:b/>
                <w:sz w:val="20"/>
              </w:rPr>
            </w:pPr>
            <w:r>
              <w:rPr>
                <w:b/>
                <w:sz w:val="20"/>
              </w:rPr>
              <w:t xml:space="preserve">Innovation &amp; </w:t>
            </w:r>
            <w:r>
              <w:rPr>
                <w:b/>
                <w:spacing w:val="-2"/>
                <w:sz w:val="20"/>
              </w:rPr>
              <w:t>improvement</w:t>
            </w:r>
          </w:p>
        </w:tc>
        <w:tc>
          <w:tcPr>
            <w:tcW w:w="680" w:type="dxa"/>
          </w:tcPr>
          <w:p w14:paraId="15F83976" w14:textId="77777777" w:rsidR="00854208" w:rsidRDefault="00854208" w:rsidP="00B407C0">
            <w:pPr>
              <w:pStyle w:val="TableParagraph"/>
              <w:spacing w:before="168"/>
              <w:ind w:left="7" w:right="1"/>
              <w:jc w:val="center"/>
              <w:rPr>
                <w:rFonts w:ascii="VL PGothic" w:hAnsi="VL PGothic"/>
                <w:sz w:val="28"/>
              </w:rPr>
            </w:pPr>
            <w:r>
              <w:rPr>
                <w:rFonts w:ascii="VL PGothic" w:hAnsi="VL PGothic"/>
                <w:spacing w:val="-10"/>
                <w:w w:val="95"/>
                <w:sz w:val="28"/>
              </w:rPr>
              <w:t>☒</w:t>
            </w:r>
          </w:p>
        </w:tc>
        <w:tc>
          <w:tcPr>
            <w:tcW w:w="569" w:type="dxa"/>
            <w:vMerge/>
            <w:tcBorders>
              <w:top w:val="nil"/>
              <w:bottom w:val="nil"/>
            </w:tcBorders>
          </w:tcPr>
          <w:p w14:paraId="6EC11EC2" w14:textId="77777777" w:rsidR="00854208" w:rsidRDefault="00854208" w:rsidP="00B407C0">
            <w:pPr>
              <w:rPr>
                <w:sz w:val="2"/>
                <w:szCs w:val="2"/>
              </w:rPr>
            </w:pPr>
          </w:p>
        </w:tc>
        <w:tc>
          <w:tcPr>
            <w:tcW w:w="1983" w:type="dxa"/>
          </w:tcPr>
          <w:p w14:paraId="01C5EFD7" w14:textId="77777777" w:rsidR="00854208" w:rsidRDefault="00854208" w:rsidP="00B407C0">
            <w:pPr>
              <w:pStyle w:val="TableParagraph"/>
              <w:spacing w:before="121"/>
              <w:ind w:left="105" w:right="356"/>
              <w:rPr>
                <w:b/>
                <w:sz w:val="20"/>
              </w:rPr>
            </w:pPr>
            <w:r>
              <w:rPr>
                <w:b/>
                <w:sz w:val="20"/>
              </w:rPr>
              <w:t>Consistent with government</w:t>
            </w:r>
            <w:r>
              <w:rPr>
                <w:b/>
                <w:spacing w:val="-12"/>
                <w:sz w:val="20"/>
              </w:rPr>
              <w:t xml:space="preserve"> </w:t>
            </w:r>
            <w:r>
              <w:rPr>
                <w:b/>
                <w:sz w:val="20"/>
              </w:rPr>
              <w:t>plans</w:t>
            </w:r>
          </w:p>
        </w:tc>
        <w:tc>
          <w:tcPr>
            <w:tcW w:w="682" w:type="dxa"/>
          </w:tcPr>
          <w:p w14:paraId="218ECC38" w14:textId="77777777" w:rsidR="00854208" w:rsidRDefault="00854208" w:rsidP="00B407C0">
            <w:pPr>
              <w:pStyle w:val="TableParagraph"/>
              <w:spacing w:before="168"/>
              <w:ind w:left="2"/>
              <w:jc w:val="center"/>
              <w:rPr>
                <w:rFonts w:ascii="VL PGothic" w:hAnsi="VL PGothic"/>
                <w:sz w:val="28"/>
              </w:rPr>
            </w:pPr>
            <w:r>
              <w:rPr>
                <w:rFonts w:ascii="VL PGothic" w:hAnsi="VL PGothic"/>
                <w:spacing w:val="-10"/>
                <w:w w:val="95"/>
                <w:sz w:val="28"/>
              </w:rPr>
              <w:t>☒</w:t>
            </w:r>
          </w:p>
        </w:tc>
      </w:tr>
      <w:tr w:rsidR="00854208" w14:paraId="183500EB" w14:textId="77777777" w:rsidTr="00B407C0">
        <w:trPr>
          <w:trHeight w:val="729"/>
        </w:trPr>
        <w:tc>
          <w:tcPr>
            <w:tcW w:w="1985" w:type="dxa"/>
          </w:tcPr>
          <w:p w14:paraId="11D68FF8" w14:textId="77777777" w:rsidR="00854208" w:rsidRDefault="00854208" w:rsidP="00B407C0">
            <w:pPr>
              <w:pStyle w:val="TableParagraph"/>
              <w:spacing w:before="14"/>
              <w:rPr>
                <w:rFonts w:ascii="Liberation Sans Narrow"/>
                <w:sz w:val="20"/>
              </w:rPr>
            </w:pPr>
          </w:p>
          <w:p w14:paraId="6F5DD9DC" w14:textId="77777777" w:rsidR="00854208" w:rsidRDefault="00854208" w:rsidP="00B407C0">
            <w:pPr>
              <w:pStyle w:val="TableParagraph"/>
              <w:ind w:left="107"/>
              <w:rPr>
                <w:b/>
                <w:sz w:val="20"/>
              </w:rPr>
            </w:pPr>
            <w:r>
              <w:rPr>
                <w:b/>
                <w:spacing w:val="-2"/>
                <w:sz w:val="20"/>
              </w:rPr>
              <w:t>Sustainable</w:t>
            </w:r>
          </w:p>
        </w:tc>
        <w:tc>
          <w:tcPr>
            <w:tcW w:w="680" w:type="dxa"/>
          </w:tcPr>
          <w:p w14:paraId="7E7BB2AC" w14:textId="77777777" w:rsidR="00854208" w:rsidRDefault="00854208" w:rsidP="00B407C0">
            <w:pPr>
              <w:pStyle w:val="TableParagraph"/>
              <w:spacing w:before="168"/>
              <w:ind w:left="7"/>
              <w:jc w:val="center"/>
              <w:rPr>
                <w:rFonts w:ascii="VL PGothic" w:hAnsi="VL PGothic"/>
                <w:sz w:val="28"/>
              </w:rPr>
            </w:pPr>
            <w:r>
              <w:rPr>
                <w:rFonts w:ascii="VL PGothic" w:hAnsi="VL PGothic"/>
                <w:spacing w:val="-10"/>
                <w:w w:val="95"/>
                <w:sz w:val="28"/>
              </w:rPr>
              <w:t>☐</w:t>
            </w:r>
          </w:p>
        </w:tc>
        <w:tc>
          <w:tcPr>
            <w:tcW w:w="567" w:type="dxa"/>
            <w:vMerge/>
            <w:tcBorders>
              <w:top w:val="nil"/>
              <w:bottom w:val="nil"/>
            </w:tcBorders>
          </w:tcPr>
          <w:p w14:paraId="6A826419" w14:textId="77777777" w:rsidR="00854208" w:rsidRDefault="00854208" w:rsidP="00B407C0">
            <w:pPr>
              <w:rPr>
                <w:sz w:val="2"/>
                <w:szCs w:val="2"/>
              </w:rPr>
            </w:pPr>
          </w:p>
        </w:tc>
        <w:tc>
          <w:tcPr>
            <w:tcW w:w="1985" w:type="dxa"/>
          </w:tcPr>
          <w:p w14:paraId="2746F76A" w14:textId="77777777" w:rsidR="00854208" w:rsidRDefault="00854208" w:rsidP="00B407C0">
            <w:pPr>
              <w:pStyle w:val="TableParagraph"/>
              <w:spacing w:before="121"/>
              <w:ind w:left="106" w:right="247"/>
              <w:rPr>
                <w:b/>
                <w:sz w:val="20"/>
              </w:rPr>
            </w:pPr>
            <w:r>
              <w:rPr>
                <w:b/>
                <w:sz w:val="20"/>
              </w:rPr>
              <w:t>Collaboration with government</w:t>
            </w:r>
            <w:r>
              <w:rPr>
                <w:b/>
                <w:spacing w:val="-12"/>
                <w:sz w:val="20"/>
              </w:rPr>
              <w:t xml:space="preserve"> </w:t>
            </w:r>
            <w:r>
              <w:rPr>
                <w:b/>
                <w:sz w:val="20"/>
              </w:rPr>
              <w:t>bodies</w:t>
            </w:r>
          </w:p>
        </w:tc>
        <w:tc>
          <w:tcPr>
            <w:tcW w:w="680" w:type="dxa"/>
          </w:tcPr>
          <w:p w14:paraId="688E594C" w14:textId="77777777" w:rsidR="00854208" w:rsidRDefault="00854208" w:rsidP="00B407C0">
            <w:pPr>
              <w:pStyle w:val="TableParagraph"/>
              <w:spacing w:before="168"/>
              <w:ind w:left="7" w:right="1"/>
              <w:jc w:val="center"/>
              <w:rPr>
                <w:rFonts w:ascii="VL PGothic" w:hAnsi="VL PGothic"/>
                <w:sz w:val="28"/>
              </w:rPr>
            </w:pPr>
            <w:r>
              <w:rPr>
                <w:rFonts w:ascii="VL PGothic" w:hAnsi="VL PGothic"/>
                <w:spacing w:val="-10"/>
                <w:w w:val="95"/>
                <w:sz w:val="28"/>
              </w:rPr>
              <w:t>☒</w:t>
            </w:r>
          </w:p>
        </w:tc>
        <w:tc>
          <w:tcPr>
            <w:tcW w:w="569" w:type="dxa"/>
            <w:vMerge/>
            <w:tcBorders>
              <w:top w:val="nil"/>
              <w:bottom w:val="nil"/>
            </w:tcBorders>
          </w:tcPr>
          <w:p w14:paraId="3804B6DD" w14:textId="77777777" w:rsidR="00854208" w:rsidRDefault="00854208" w:rsidP="00B407C0">
            <w:pPr>
              <w:rPr>
                <w:sz w:val="2"/>
                <w:szCs w:val="2"/>
              </w:rPr>
            </w:pPr>
          </w:p>
        </w:tc>
        <w:tc>
          <w:tcPr>
            <w:tcW w:w="1983" w:type="dxa"/>
          </w:tcPr>
          <w:p w14:paraId="27E81899" w14:textId="77777777" w:rsidR="00854208" w:rsidRDefault="00854208" w:rsidP="00B407C0">
            <w:pPr>
              <w:pStyle w:val="TableParagraph"/>
              <w:spacing w:before="14"/>
              <w:rPr>
                <w:rFonts w:ascii="Liberation Sans Narrow"/>
                <w:sz w:val="20"/>
              </w:rPr>
            </w:pPr>
          </w:p>
          <w:p w14:paraId="0E047708" w14:textId="77777777" w:rsidR="00854208" w:rsidRDefault="00854208" w:rsidP="00B407C0">
            <w:pPr>
              <w:pStyle w:val="TableParagraph"/>
              <w:ind w:left="105"/>
              <w:rPr>
                <w:b/>
                <w:sz w:val="20"/>
              </w:rPr>
            </w:pPr>
            <w:r>
              <w:rPr>
                <w:b/>
                <w:spacing w:val="-2"/>
                <w:sz w:val="20"/>
              </w:rPr>
              <w:t>Transparent</w:t>
            </w:r>
          </w:p>
        </w:tc>
        <w:tc>
          <w:tcPr>
            <w:tcW w:w="682" w:type="dxa"/>
          </w:tcPr>
          <w:p w14:paraId="5C573264" w14:textId="77777777" w:rsidR="00854208" w:rsidRDefault="00854208" w:rsidP="00B407C0">
            <w:pPr>
              <w:pStyle w:val="TableParagraph"/>
              <w:spacing w:before="168"/>
              <w:ind w:left="2"/>
              <w:jc w:val="center"/>
              <w:rPr>
                <w:rFonts w:ascii="VL PGothic" w:hAnsi="VL PGothic"/>
                <w:sz w:val="28"/>
              </w:rPr>
            </w:pPr>
            <w:r>
              <w:rPr>
                <w:rFonts w:ascii="VL PGothic" w:hAnsi="VL PGothic"/>
                <w:spacing w:val="-10"/>
                <w:w w:val="95"/>
                <w:sz w:val="28"/>
              </w:rPr>
              <w:t>☒</w:t>
            </w:r>
          </w:p>
        </w:tc>
      </w:tr>
    </w:tbl>
    <w:p w14:paraId="09E60550" w14:textId="77777777" w:rsidR="00190E33" w:rsidRDefault="00190E33" w:rsidP="00393EEF">
      <w:pPr>
        <w:rPr>
          <w:sz w:val="24"/>
          <w:szCs w:val="24"/>
        </w:rPr>
      </w:pPr>
    </w:p>
    <w:p w14:paraId="2E2135BA" w14:textId="77777777" w:rsidR="00190E33" w:rsidRPr="00190E33" w:rsidRDefault="00190E33" w:rsidP="00190E33">
      <w:pPr>
        <w:rPr>
          <w:b/>
          <w:bCs/>
          <w:sz w:val="24"/>
          <w:szCs w:val="24"/>
        </w:rPr>
      </w:pPr>
      <w:r w:rsidRPr="00190E33">
        <w:rPr>
          <w:b/>
          <w:bCs/>
          <w:sz w:val="24"/>
          <w:szCs w:val="24"/>
        </w:rPr>
        <w:t>Gender Equality, Climate Change, Human Rights and Child Safe Compliance</w:t>
      </w:r>
    </w:p>
    <w:p w14:paraId="6D5C75A2" w14:textId="4B16F0F8" w:rsidR="00190E33" w:rsidRDefault="00190E33" w:rsidP="00190E33">
      <w:pPr>
        <w:rPr>
          <w:i/>
          <w:iCs/>
          <w:sz w:val="24"/>
          <w:szCs w:val="24"/>
        </w:rPr>
      </w:pPr>
      <w:r w:rsidRPr="00190E33">
        <w:rPr>
          <w:sz w:val="24"/>
          <w:szCs w:val="24"/>
        </w:rPr>
        <w:t xml:space="preserve">All City of Whittlesea policies comply with the </w:t>
      </w:r>
      <w:r w:rsidRPr="00190E33">
        <w:rPr>
          <w:i/>
          <w:iCs/>
          <w:sz w:val="24"/>
          <w:szCs w:val="24"/>
        </w:rPr>
        <w:t xml:space="preserve">Victorian Charter of Human Rights and Responsibilities, Gender Equality Act, Climate Change </w:t>
      </w:r>
      <w:proofErr w:type="gramStart"/>
      <w:r w:rsidRPr="00190E33">
        <w:rPr>
          <w:i/>
          <w:iCs/>
          <w:sz w:val="24"/>
          <w:szCs w:val="24"/>
        </w:rPr>
        <w:t>Act</w:t>
      </w:r>
      <w:proofErr w:type="gramEnd"/>
      <w:r w:rsidRPr="00190E33">
        <w:rPr>
          <w:sz w:val="24"/>
          <w:szCs w:val="24"/>
        </w:rPr>
        <w:t xml:space="preserve"> and the </w:t>
      </w:r>
      <w:r w:rsidRPr="00190E33">
        <w:rPr>
          <w:i/>
          <w:iCs/>
          <w:sz w:val="24"/>
          <w:szCs w:val="24"/>
        </w:rPr>
        <w:t>Child Safe Standards.</w:t>
      </w:r>
    </w:p>
    <w:p w14:paraId="18FB664F" w14:textId="33BF17BD" w:rsidR="00854208" w:rsidRDefault="007C2322" w:rsidP="00190E33">
      <w:pPr>
        <w:rPr>
          <w:sz w:val="24"/>
          <w:szCs w:val="24"/>
        </w:rPr>
      </w:pPr>
      <w:r>
        <w:rPr>
          <w:i/>
          <w:iCs/>
          <w:sz w:val="24"/>
          <w:szCs w:val="24"/>
        </w:rPr>
        <w:br/>
      </w:r>
    </w:p>
    <w:p w14:paraId="3AD82035" w14:textId="649B9AAD" w:rsidR="00854208" w:rsidRDefault="00854208" w:rsidP="00190E33">
      <w:pPr>
        <w:rPr>
          <w:sz w:val="24"/>
          <w:szCs w:val="24"/>
        </w:rPr>
      </w:pPr>
      <w:r>
        <w:rPr>
          <w:sz w:val="24"/>
          <w:szCs w:val="24"/>
        </w:rPr>
        <w:br/>
      </w:r>
    </w:p>
    <w:tbl>
      <w:tblPr>
        <w:tblStyle w:val="TableGrid"/>
        <w:tblpPr w:leftFromText="180" w:rightFromText="180" w:vertAnchor="text" w:horzAnchor="margin" w:tblpXSpec="center" w:tblpY="275"/>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6"/>
        <w:gridCol w:w="2566"/>
        <w:gridCol w:w="3388"/>
      </w:tblGrid>
      <w:tr w:rsidR="00854208" w:rsidRPr="006038BE" w14:paraId="4F141E14" w14:textId="77777777" w:rsidTr="00B407C0">
        <w:trPr>
          <w:trHeight w:val="284"/>
        </w:trPr>
        <w:tc>
          <w:tcPr>
            <w:tcW w:w="2032" w:type="dxa"/>
          </w:tcPr>
          <w:p w14:paraId="0F76A67E" w14:textId="77777777" w:rsidR="00854208" w:rsidRPr="006038BE" w:rsidRDefault="00854208" w:rsidP="00B407C0">
            <w:pPr>
              <w:rPr>
                <w:sz w:val="23"/>
                <w:szCs w:val="23"/>
              </w:rPr>
            </w:pPr>
            <w:r w:rsidRPr="006038BE">
              <w:rPr>
                <w:sz w:val="23"/>
                <w:szCs w:val="23"/>
              </w:rPr>
              <w:t>Date of Adoption</w:t>
            </w:r>
          </w:p>
        </w:tc>
        <w:tc>
          <w:tcPr>
            <w:tcW w:w="2036" w:type="dxa"/>
          </w:tcPr>
          <w:p w14:paraId="55DDE413" w14:textId="77777777" w:rsidR="00854208" w:rsidRPr="006038BE" w:rsidRDefault="00854208" w:rsidP="00B407C0">
            <w:pPr>
              <w:rPr>
                <w:sz w:val="23"/>
                <w:szCs w:val="23"/>
              </w:rPr>
            </w:pPr>
            <w:r w:rsidRPr="006038BE">
              <w:rPr>
                <w:sz w:val="23"/>
                <w:szCs w:val="23"/>
              </w:rPr>
              <w:t>Next Review Date</w:t>
            </w:r>
          </w:p>
        </w:tc>
        <w:tc>
          <w:tcPr>
            <w:tcW w:w="2566" w:type="dxa"/>
          </w:tcPr>
          <w:p w14:paraId="3C837E80" w14:textId="77777777" w:rsidR="00854208" w:rsidRPr="006038BE" w:rsidRDefault="00854208" w:rsidP="00B407C0">
            <w:pPr>
              <w:rPr>
                <w:sz w:val="23"/>
                <w:szCs w:val="23"/>
              </w:rPr>
            </w:pPr>
            <w:r w:rsidRPr="006038BE">
              <w:rPr>
                <w:sz w:val="23"/>
                <w:szCs w:val="23"/>
              </w:rPr>
              <w:t>Directorate Responsible</w:t>
            </w:r>
          </w:p>
        </w:tc>
        <w:tc>
          <w:tcPr>
            <w:tcW w:w="3388" w:type="dxa"/>
          </w:tcPr>
          <w:p w14:paraId="1B98C6EC" w14:textId="77777777" w:rsidR="00854208" w:rsidRPr="006038BE" w:rsidRDefault="00854208" w:rsidP="00B407C0">
            <w:pPr>
              <w:rPr>
                <w:sz w:val="23"/>
                <w:szCs w:val="23"/>
              </w:rPr>
            </w:pPr>
            <w:r w:rsidRPr="006038BE">
              <w:rPr>
                <w:sz w:val="23"/>
                <w:szCs w:val="23"/>
              </w:rPr>
              <w:t>Department Responsible</w:t>
            </w:r>
          </w:p>
        </w:tc>
      </w:tr>
      <w:tr w:rsidR="00854208" w:rsidRPr="006038BE" w14:paraId="73928F73" w14:textId="77777777" w:rsidTr="00B407C0">
        <w:trPr>
          <w:trHeight w:val="579"/>
        </w:trPr>
        <w:tc>
          <w:tcPr>
            <w:tcW w:w="2032" w:type="dxa"/>
          </w:tcPr>
          <w:p w14:paraId="51D2D702" w14:textId="77777777" w:rsidR="00854208" w:rsidRPr="006038BE" w:rsidRDefault="00854208" w:rsidP="00B407C0">
            <w:pPr>
              <w:rPr>
                <w:color w:val="0070C0"/>
                <w:sz w:val="23"/>
                <w:szCs w:val="23"/>
              </w:rPr>
            </w:pPr>
            <w:r w:rsidRPr="006038BE">
              <w:rPr>
                <w:color w:val="0070C0"/>
                <w:sz w:val="23"/>
                <w:szCs w:val="23"/>
              </w:rPr>
              <w:t>18 June 2024</w:t>
            </w:r>
          </w:p>
        </w:tc>
        <w:tc>
          <w:tcPr>
            <w:tcW w:w="2036" w:type="dxa"/>
          </w:tcPr>
          <w:p w14:paraId="208F373A" w14:textId="77777777" w:rsidR="00854208" w:rsidRPr="006038BE" w:rsidRDefault="00854208" w:rsidP="00B407C0">
            <w:pPr>
              <w:rPr>
                <w:color w:val="0070C0"/>
                <w:sz w:val="23"/>
                <w:szCs w:val="23"/>
              </w:rPr>
            </w:pPr>
            <w:r w:rsidRPr="006038BE">
              <w:rPr>
                <w:color w:val="0070C0"/>
                <w:sz w:val="23"/>
                <w:szCs w:val="23"/>
              </w:rPr>
              <w:t>June 2028</w:t>
            </w:r>
          </w:p>
        </w:tc>
        <w:tc>
          <w:tcPr>
            <w:tcW w:w="2566" w:type="dxa"/>
          </w:tcPr>
          <w:p w14:paraId="31467B32" w14:textId="77777777" w:rsidR="00854208" w:rsidRPr="006038BE" w:rsidRDefault="00854208" w:rsidP="00B407C0">
            <w:pPr>
              <w:rPr>
                <w:color w:val="0070C0"/>
                <w:sz w:val="23"/>
                <w:szCs w:val="23"/>
              </w:rPr>
            </w:pPr>
            <w:r w:rsidRPr="006038BE">
              <w:rPr>
                <w:color w:val="0070C0"/>
                <w:sz w:val="23"/>
                <w:szCs w:val="23"/>
              </w:rPr>
              <w:t>Community Wellbeing</w:t>
            </w:r>
          </w:p>
        </w:tc>
        <w:tc>
          <w:tcPr>
            <w:tcW w:w="3388" w:type="dxa"/>
          </w:tcPr>
          <w:p w14:paraId="77F0FFCF" w14:textId="77777777" w:rsidR="00854208" w:rsidRPr="006038BE" w:rsidRDefault="00854208" w:rsidP="00B407C0">
            <w:pPr>
              <w:rPr>
                <w:color w:val="0070C0"/>
                <w:sz w:val="23"/>
                <w:szCs w:val="23"/>
              </w:rPr>
            </w:pPr>
            <w:r w:rsidRPr="006038BE">
              <w:rPr>
                <w:color w:val="0070C0"/>
                <w:sz w:val="23"/>
                <w:szCs w:val="23"/>
              </w:rPr>
              <w:t>Active &amp; Creative Communities</w:t>
            </w:r>
          </w:p>
        </w:tc>
      </w:tr>
    </w:tbl>
    <w:p w14:paraId="490034F9" w14:textId="77777777" w:rsidR="00145289" w:rsidRPr="00326991" w:rsidRDefault="00145289" w:rsidP="00145289">
      <w:pPr>
        <w:rPr>
          <w:b/>
          <w:bCs/>
          <w:sz w:val="24"/>
          <w:szCs w:val="24"/>
        </w:rPr>
      </w:pPr>
      <w:r w:rsidRPr="00326991">
        <w:rPr>
          <w:b/>
          <w:bCs/>
          <w:sz w:val="24"/>
          <w:szCs w:val="24"/>
        </w:rPr>
        <w:lastRenderedPageBreak/>
        <w:t>Definitions</w:t>
      </w:r>
    </w:p>
    <w:p w14:paraId="6A7B18E3" w14:textId="7071636D" w:rsidR="00854208" w:rsidRPr="00326991" w:rsidRDefault="00145289" w:rsidP="00145289">
      <w:pPr>
        <w:rPr>
          <w:sz w:val="23"/>
          <w:szCs w:val="23"/>
        </w:rPr>
      </w:pPr>
      <w:r w:rsidRPr="00326991">
        <w:rPr>
          <w:b/>
          <w:bCs/>
          <w:sz w:val="23"/>
          <w:szCs w:val="23"/>
        </w:rPr>
        <w:t>Community Sports Infrastructure</w:t>
      </w:r>
      <w:r w:rsidRPr="00326991">
        <w:rPr>
          <w:sz w:val="23"/>
          <w:szCs w:val="23"/>
        </w:rPr>
        <w:t xml:space="preserve"> means publicly owned local, rural, regional, or state level sport and recreation infrastructure operated and maintained primarily for the purpose of facilitating community sport activities, including sporting grounds, surfaces, facilities, and pavilions.</w:t>
      </w:r>
    </w:p>
    <w:p w14:paraId="09C0AFA2" w14:textId="77777777" w:rsidR="00783E84" w:rsidRPr="00326991" w:rsidRDefault="00783E84" w:rsidP="00783E84">
      <w:pPr>
        <w:rPr>
          <w:sz w:val="23"/>
          <w:szCs w:val="23"/>
        </w:rPr>
      </w:pPr>
      <w:r w:rsidRPr="00326991">
        <w:rPr>
          <w:b/>
          <w:bCs/>
          <w:sz w:val="23"/>
          <w:szCs w:val="23"/>
        </w:rPr>
        <w:t>Gender</w:t>
      </w:r>
      <w:r w:rsidRPr="00326991">
        <w:rPr>
          <w:sz w:val="23"/>
          <w:szCs w:val="23"/>
        </w:rPr>
        <w:t xml:space="preserve"> means how you understand who you are and how you interact with other people. Many people understand their gender as being a man or woman. Some people understand their gender as a mix of these or neither. A person’s gender and their expression of their gender can be shown in different ways, such as through behaviour or physical appearance.</w:t>
      </w:r>
    </w:p>
    <w:p w14:paraId="401E7DAB" w14:textId="77777777" w:rsidR="00783E84" w:rsidRPr="00326991" w:rsidRDefault="00783E84" w:rsidP="00783E84">
      <w:pPr>
        <w:rPr>
          <w:sz w:val="23"/>
          <w:szCs w:val="23"/>
        </w:rPr>
      </w:pPr>
      <w:r w:rsidRPr="00326991">
        <w:rPr>
          <w:b/>
          <w:bCs/>
          <w:sz w:val="23"/>
          <w:szCs w:val="23"/>
        </w:rPr>
        <w:t>Gender Audit</w:t>
      </w:r>
      <w:r w:rsidRPr="00326991">
        <w:rPr>
          <w:sz w:val="23"/>
          <w:szCs w:val="23"/>
        </w:rPr>
        <w:t xml:space="preserve"> means a tool to assess and check the institutionalisation of gender equality into organisations, including in their policies, programmes, projects and/or provision of services, structures, </w:t>
      </w:r>
      <w:proofErr w:type="gramStart"/>
      <w:r w:rsidRPr="00326991">
        <w:rPr>
          <w:sz w:val="23"/>
          <w:szCs w:val="23"/>
        </w:rPr>
        <w:t>proceedings</w:t>
      </w:r>
      <w:proofErr w:type="gramEnd"/>
      <w:r w:rsidRPr="00326991">
        <w:rPr>
          <w:sz w:val="23"/>
          <w:szCs w:val="23"/>
        </w:rPr>
        <w:t xml:space="preserve"> and budgets.</w:t>
      </w:r>
    </w:p>
    <w:p w14:paraId="6CC7DC37" w14:textId="77777777" w:rsidR="00783E84" w:rsidRPr="00326991" w:rsidRDefault="00783E84" w:rsidP="00783E84">
      <w:pPr>
        <w:rPr>
          <w:sz w:val="23"/>
          <w:szCs w:val="23"/>
        </w:rPr>
      </w:pPr>
      <w:r w:rsidRPr="00326991">
        <w:rPr>
          <w:b/>
          <w:bCs/>
          <w:sz w:val="23"/>
          <w:szCs w:val="23"/>
        </w:rPr>
        <w:t>Gender diverse</w:t>
      </w:r>
      <w:r w:rsidRPr="00326991">
        <w:rPr>
          <w:sz w:val="23"/>
          <w:szCs w:val="23"/>
        </w:rPr>
        <w:t xml:space="preserve"> means an umbrella term for a range of genders expressed in different ways. Gender diverse people use many terms to describe themselves. Language in this area is dynamic, particularly among gender non-confirming young people, who are more likely to describe themselves as non-binary.</w:t>
      </w:r>
    </w:p>
    <w:p w14:paraId="4A5814AE" w14:textId="77777777" w:rsidR="00783E84" w:rsidRPr="00326991" w:rsidRDefault="00783E84" w:rsidP="00783E84">
      <w:pPr>
        <w:rPr>
          <w:sz w:val="23"/>
          <w:szCs w:val="23"/>
        </w:rPr>
      </w:pPr>
      <w:r w:rsidRPr="00326991">
        <w:rPr>
          <w:b/>
          <w:bCs/>
          <w:sz w:val="23"/>
          <w:szCs w:val="23"/>
        </w:rPr>
        <w:t>Gender equality</w:t>
      </w:r>
      <w:r w:rsidRPr="00326991">
        <w:rPr>
          <w:sz w:val="23"/>
          <w:szCs w:val="23"/>
        </w:rPr>
        <w:t xml:space="preserve"> means the equal rights, responsibilities, and opportunities for all genders. Equality does not mean that all genders will be treated the same, but that their rights, responsibilities, and opportunities will not depend on their gender.</w:t>
      </w:r>
    </w:p>
    <w:p w14:paraId="72311BB9" w14:textId="301E23DD" w:rsidR="007C2322" w:rsidRPr="00326991" w:rsidRDefault="00783E84" w:rsidP="00783E84">
      <w:pPr>
        <w:rPr>
          <w:sz w:val="23"/>
          <w:szCs w:val="23"/>
        </w:rPr>
      </w:pPr>
      <w:r w:rsidRPr="00326991">
        <w:rPr>
          <w:b/>
          <w:bCs/>
          <w:sz w:val="23"/>
          <w:szCs w:val="23"/>
        </w:rPr>
        <w:t>Gender equity</w:t>
      </w:r>
      <w:r w:rsidRPr="00326991">
        <w:rPr>
          <w:sz w:val="23"/>
          <w:szCs w:val="23"/>
        </w:rPr>
        <w:t xml:space="preserve"> means the provision of fairness and justice in the distribution of benefits and responsibilities based on gender. The concept recognises that people may have different needs and power related to their gender and these differences should be identified and addressed in a manner that rectifies gender related imbalances.</w:t>
      </w:r>
    </w:p>
    <w:p w14:paraId="7FB12199" w14:textId="77777777" w:rsidR="00AE25C4" w:rsidRPr="00326991" w:rsidRDefault="00AE25C4" w:rsidP="00AE25C4">
      <w:pPr>
        <w:rPr>
          <w:sz w:val="23"/>
          <w:szCs w:val="23"/>
        </w:rPr>
      </w:pPr>
      <w:r w:rsidRPr="00326991">
        <w:rPr>
          <w:b/>
          <w:bCs/>
          <w:sz w:val="23"/>
          <w:szCs w:val="23"/>
        </w:rPr>
        <w:t>Gender Impact Assessment, or GIA</w:t>
      </w:r>
      <w:r w:rsidRPr="00326991">
        <w:rPr>
          <w:sz w:val="23"/>
          <w:szCs w:val="23"/>
        </w:rPr>
        <w:t xml:space="preserve"> means a requirement under the Gender Equality Act 2020 to be carried out on policies, programs and services which have a direct and significant impact on the public. The assessment must evaluate the effects that a policy, program or service may have on people of different genders.</w:t>
      </w:r>
    </w:p>
    <w:p w14:paraId="4962E610" w14:textId="77777777" w:rsidR="00AE25C4" w:rsidRPr="00326991" w:rsidRDefault="00AE25C4" w:rsidP="00AE25C4">
      <w:pPr>
        <w:rPr>
          <w:sz w:val="23"/>
          <w:szCs w:val="23"/>
        </w:rPr>
      </w:pPr>
      <w:r w:rsidRPr="00326991">
        <w:rPr>
          <w:b/>
          <w:bCs/>
          <w:sz w:val="23"/>
          <w:szCs w:val="23"/>
        </w:rPr>
        <w:t>Club Strategic/Business Plan</w:t>
      </w:r>
      <w:r w:rsidRPr="00326991">
        <w:rPr>
          <w:sz w:val="23"/>
          <w:szCs w:val="23"/>
        </w:rPr>
        <w:t xml:space="preserve"> means an internal sporting club document developed to guide good governance, future direction, and specific objectives for the organisation. Sporting Clubs Gender Equity action plan will sit within this document.</w:t>
      </w:r>
    </w:p>
    <w:tbl>
      <w:tblPr>
        <w:tblStyle w:val="TableGrid"/>
        <w:tblpPr w:leftFromText="180" w:rightFromText="180" w:vertAnchor="text" w:horzAnchor="margin" w:tblpXSpec="center" w:tblpY="1697"/>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6"/>
        <w:gridCol w:w="2566"/>
        <w:gridCol w:w="3388"/>
      </w:tblGrid>
      <w:tr w:rsidR="00AF36FA" w:rsidRPr="006038BE" w14:paraId="7B55E33E" w14:textId="77777777" w:rsidTr="00AF36FA">
        <w:trPr>
          <w:trHeight w:val="284"/>
        </w:trPr>
        <w:tc>
          <w:tcPr>
            <w:tcW w:w="2032" w:type="dxa"/>
          </w:tcPr>
          <w:p w14:paraId="6962421A" w14:textId="77777777" w:rsidR="00AF36FA" w:rsidRPr="00AF36FA" w:rsidRDefault="00AF36FA" w:rsidP="00AF36FA">
            <w:pPr>
              <w:rPr>
                <w:sz w:val="23"/>
                <w:szCs w:val="23"/>
              </w:rPr>
            </w:pPr>
            <w:r w:rsidRPr="00AF36FA">
              <w:rPr>
                <w:sz w:val="23"/>
                <w:szCs w:val="23"/>
              </w:rPr>
              <w:t>Date of Adoption</w:t>
            </w:r>
          </w:p>
        </w:tc>
        <w:tc>
          <w:tcPr>
            <w:tcW w:w="2036" w:type="dxa"/>
          </w:tcPr>
          <w:p w14:paraId="798ECB7D" w14:textId="77777777" w:rsidR="00AF36FA" w:rsidRPr="00AF36FA" w:rsidRDefault="00AF36FA" w:rsidP="00AF36FA">
            <w:pPr>
              <w:rPr>
                <w:sz w:val="23"/>
                <w:szCs w:val="23"/>
              </w:rPr>
            </w:pPr>
            <w:r w:rsidRPr="00AF36FA">
              <w:rPr>
                <w:sz w:val="23"/>
                <w:szCs w:val="23"/>
              </w:rPr>
              <w:t>Next Review Date</w:t>
            </w:r>
          </w:p>
        </w:tc>
        <w:tc>
          <w:tcPr>
            <w:tcW w:w="2566" w:type="dxa"/>
          </w:tcPr>
          <w:p w14:paraId="762177C3" w14:textId="77777777" w:rsidR="00AF36FA" w:rsidRPr="00AF36FA" w:rsidRDefault="00AF36FA" w:rsidP="00AF36FA">
            <w:pPr>
              <w:rPr>
                <w:sz w:val="23"/>
                <w:szCs w:val="23"/>
              </w:rPr>
            </w:pPr>
            <w:r w:rsidRPr="00AF36FA">
              <w:rPr>
                <w:sz w:val="23"/>
                <w:szCs w:val="23"/>
              </w:rPr>
              <w:t>Directorate Responsible</w:t>
            </w:r>
          </w:p>
        </w:tc>
        <w:tc>
          <w:tcPr>
            <w:tcW w:w="3388" w:type="dxa"/>
          </w:tcPr>
          <w:p w14:paraId="7CFC6FB1" w14:textId="77777777" w:rsidR="00AF36FA" w:rsidRPr="00AF36FA" w:rsidRDefault="00AF36FA" w:rsidP="00AF36FA">
            <w:pPr>
              <w:rPr>
                <w:sz w:val="23"/>
                <w:szCs w:val="23"/>
              </w:rPr>
            </w:pPr>
            <w:r w:rsidRPr="00AF36FA">
              <w:rPr>
                <w:sz w:val="23"/>
                <w:szCs w:val="23"/>
              </w:rPr>
              <w:t>Department Responsible</w:t>
            </w:r>
          </w:p>
        </w:tc>
      </w:tr>
      <w:tr w:rsidR="00AF36FA" w:rsidRPr="006038BE" w14:paraId="7C1A2ED6" w14:textId="77777777" w:rsidTr="00AF36FA">
        <w:trPr>
          <w:trHeight w:val="579"/>
        </w:trPr>
        <w:tc>
          <w:tcPr>
            <w:tcW w:w="2032" w:type="dxa"/>
          </w:tcPr>
          <w:p w14:paraId="28FBAACD" w14:textId="77777777" w:rsidR="00AF36FA" w:rsidRPr="00AF36FA" w:rsidRDefault="00AF36FA" w:rsidP="00AF36FA">
            <w:pPr>
              <w:rPr>
                <w:color w:val="0070C0"/>
                <w:sz w:val="23"/>
                <w:szCs w:val="23"/>
              </w:rPr>
            </w:pPr>
            <w:r w:rsidRPr="00AF36FA">
              <w:rPr>
                <w:color w:val="0070C0"/>
                <w:sz w:val="23"/>
                <w:szCs w:val="23"/>
              </w:rPr>
              <w:t>18 June 2024</w:t>
            </w:r>
          </w:p>
        </w:tc>
        <w:tc>
          <w:tcPr>
            <w:tcW w:w="2036" w:type="dxa"/>
          </w:tcPr>
          <w:p w14:paraId="59D435E4" w14:textId="77777777" w:rsidR="00AF36FA" w:rsidRPr="00AF36FA" w:rsidRDefault="00AF36FA" w:rsidP="00AF36FA">
            <w:pPr>
              <w:rPr>
                <w:color w:val="0070C0"/>
                <w:sz w:val="23"/>
                <w:szCs w:val="23"/>
              </w:rPr>
            </w:pPr>
            <w:r w:rsidRPr="00AF36FA">
              <w:rPr>
                <w:color w:val="0070C0"/>
                <w:sz w:val="23"/>
                <w:szCs w:val="23"/>
              </w:rPr>
              <w:t>June 2028</w:t>
            </w:r>
          </w:p>
        </w:tc>
        <w:tc>
          <w:tcPr>
            <w:tcW w:w="2566" w:type="dxa"/>
          </w:tcPr>
          <w:p w14:paraId="3D24473E" w14:textId="77777777" w:rsidR="00AF36FA" w:rsidRPr="00AF36FA" w:rsidRDefault="00AF36FA" w:rsidP="00AF36FA">
            <w:pPr>
              <w:rPr>
                <w:color w:val="0070C0"/>
                <w:sz w:val="23"/>
                <w:szCs w:val="23"/>
              </w:rPr>
            </w:pPr>
            <w:r w:rsidRPr="00AF36FA">
              <w:rPr>
                <w:color w:val="0070C0"/>
                <w:sz w:val="23"/>
                <w:szCs w:val="23"/>
              </w:rPr>
              <w:t>Community Wellbeing</w:t>
            </w:r>
          </w:p>
        </w:tc>
        <w:tc>
          <w:tcPr>
            <w:tcW w:w="3388" w:type="dxa"/>
          </w:tcPr>
          <w:p w14:paraId="33CDE014" w14:textId="77777777" w:rsidR="00AF36FA" w:rsidRPr="00AF36FA" w:rsidRDefault="00AF36FA" w:rsidP="00AF36FA">
            <w:pPr>
              <w:rPr>
                <w:color w:val="0070C0"/>
                <w:sz w:val="23"/>
                <w:szCs w:val="23"/>
              </w:rPr>
            </w:pPr>
            <w:r w:rsidRPr="00AF36FA">
              <w:rPr>
                <w:color w:val="0070C0"/>
                <w:sz w:val="23"/>
                <w:szCs w:val="23"/>
              </w:rPr>
              <w:t>Active &amp; Creative Communities</w:t>
            </w:r>
          </w:p>
        </w:tc>
      </w:tr>
    </w:tbl>
    <w:p w14:paraId="653A8D3A" w14:textId="6DA23D5E" w:rsidR="00E16033" w:rsidRPr="00326991" w:rsidRDefault="00E16033" w:rsidP="00E16033">
      <w:pPr>
        <w:rPr>
          <w:sz w:val="23"/>
          <w:szCs w:val="23"/>
        </w:rPr>
      </w:pPr>
      <w:r w:rsidRPr="00326991">
        <w:rPr>
          <w:b/>
          <w:bCs/>
          <w:sz w:val="23"/>
          <w:szCs w:val="23"/>
        </w:rPr>
        <w:t xml:space="preserve">Council </w:t>
      </w:r>
      <w:r w:rsidRPr="00326991">
        <w:rPr>
          <w:sz w:val="23"/>
          <w:szCs w:val="23"/>
        </w:rPr>
        <w:t>means the City of Whittlesea</w:t>
      </w:r>
    </w:p>
    <w:p w14:paraId="05796311" w14:textId="657FA9CE" w:rsidR="00326991" w:rsidRDefault="00E16033" w:rsidP="00AE25C4">
      <w:pPr>
        <w:rPr>
          <w:sz w:val="23"/>
          <w:szCs w:val="23"/>
        </w:rPr>
      </w:pPr>
      <w:r w:rsidRPr="00326991">
        <w:rPr>
          <w:b/>
          <w:bCs/>
          <w:sz w:val="23"/>
          <w:szCs w:val="23"/>
        </w:rPr>
        <w:t>Council Officers</w:t>
      </w:r>
      <w:r w:rsidRPr="00326991">
        <w:rPr>
          <w:sz w:val="23"/>
          <w:szCs w:val="23"/>
        </w:rPr>
        <w:t xml:space="preserve"> means full time, part time, casual and contractors employed by the City of Whittlesea.</w:t>
      </w:r>
    </w:p>
    <w:p w14:paraId="410AA721" w14:textId="4DA8F303" w:rsidR="00AF36FA" w:rsidRPr="00AF36FA" w:rsidRDefault="00AF36FA" w:rsidP="00AF36FA">
      <w:pPr>
        <w:rPr>
          <w:b/>
          <w:bCs/>
          <w:sz w:val="23"/>
          <w:szCs w:val="23"/>
        </w:rPr>
      </w:pPr>
      <w:r w:rsidRPr="00AF36FA">
        <w:rPr>
          <w:b/>
          <w:bCs/>
          <w:sz w:val="23"/>
          <w:szCs w:val="23"/>
        </w:rPr>
        <w:t xml:space="preserve">Procedures and implementation </w:t>
      </w:r>
    </w:p>
    <w:p w14:paraId="2AADE31B" w14:textId="77777777" w:rsidR="00465086" w:rsidRPr="00465086" w:rsidRDefault="00465086" w:rsidP="00AE25C4">
      <w:pPr>
        <w:rPr>
          <w:sz w:val="24"/>
          <w:szCs w:val="24"/>
          <w:u w:val="single"/>
        </w:rPr>
      </w:pPr>
      <w:r w:rsidRPr="00465086">
        <w:rPr>
          <w:sz w:val="24"/>
          <w:szCs w:val="24"/>
          <w:u w:val="single"/>
        </w:rPr>
        <w:lastRenderedPageBreak/>
        <w:t>FAIR ACCESS PRINCIPLES</w:t>
      </w:r>
    </w:p>
    <w:p w14:paraId="3B5F2654" w14:textId="77777777" w:rsidR="000C6195" w:rsidRDefault="00465086" w:rsidP="00AE25C4">
      <w:pPr>
        <w:rPr>
          <w:sz w:val="24"/>
          <w:szCs w:val="24"/>
        </w:rPr>
      </w:pPr>
      <w:r w:rsidRPr="00465086">
        <w:rPr>
          <w:sz w:val="24"/>
          <w:szCs w:val="24"/>
        </w:rPr>
        <w:t>The Fair Access Principles have been developed by the Office for Women in Sport and Recreation, Sport and Recreation Victoria and VicHealth, in consultation with representatives from local government and the state sport and recreation sector. This Policy and any resultant action plan are based on six (6) principles of inclusivity, full participation, equal representation, encouraging and supporting user groups, and prioritising user groups committed to equality.</w:t>
      </w:r>
    </w:p>
    <w:p w14:paraId="388FC1E8" w14:textId="79EC88E0" w:rsidR="000C6195" w:rsidRPr="000C6195" w:rsidRDefault="000C6195" w:rsidP="000C6195">
      <w:pPr>
        <w:pStyle w:val="ListParagraph"/>
        <w:numPr>
          <w:ilvl w:val="0"/>
          <w:numId w:val="5"/>
        </w:numPr>
        <w:rPr>
          <w:sz w:val="23"/>
          <w:szCs w:val="23"/>
        </w:rPr>
      </w:pPr>
      <w:r w:rsidRPr="000C6195">
        <w:rPr>
          <w:sz w:val="23"/>
          <w:szCs w:val="23"/>
        </w:rPr>
        <w:t>Community sports infrastructure and environments are genuinely welcoming, safe, and</w:t>
      </w:r>
      <w:r w:rsidRPr="000C6195">
        <w:rPr>
          <w:sz w:val="23"/>
          <w:szCs w:val="23"/>
        </w:rPr>
        <w:t xml:space="preserve"> </w:t>
      </w:r>
      <w:r w:rsidRPr="000C6195">
        <w:rPr>
          <w:sz w:val="23"/>
          <w:szCs w:val="23"/>
        </w:rPr>
        <w:t>inclusive</w:t>
      </w:r>
    </w:p>
    <w:p w14:paraId="7E0EAA42" w14:textId="00E3EE80" w:rsidR="000C6195" w:rsidRPr="000C6195" w:rsidRDefault="000C6195" w:rsidP="000C6195">
      <w:pPr>
        <w:pStyle w:val="ListParagraph"/>
        <w:numPr>
          <w:ilvl w:val="0"/>
          <w:numId w:val="5"/>
        </w:numPr>
        <w:rPr>
          <w:sz w:val="23"/>
          <w:szCs w:val="23"/>
        </w:rPr>
      </w:pPr>
      <w:r w:rsidRPr="000C6195">
        <w:rPr>
          <w:sz w:val="23"/>
          <w:szCs w:val="23"/>
        </w:rPr>
        <w:t>Women and girls can fully participate in all aspects of community sport and active</w:t>
      </w:r>
      <w:r w:rsidRPr="000C6195">
        <w:rPr>
          <w:sz w:val="23"/>
          <w:szCs w:val="23"/>
        </w:rPr>
        <w:t xml:space="preserve"> </w:t>
      </w:r>
      <w:r w:rsidRPr="000C6195">
        <w:rPr>
          <w:sz w:val="23"/>
          <w:szCs w:val="23"/>
        </w:rPr>
        <w:t>recreation, including as a player, coach, administrator, official, volunteer and spectator</w:t>
      </w:r>
    </w:p>
    <w:p w14:paraId="13A6A309" w14:textId="04B70B31" w:rsidR="000C6195" w:rsidRPr="000C6195" w:rsidRDefault="000C6195" w:rsidP="000C6195">
      <w:pPr>
        <w:pStyle w:val="ListParagraph"/>
        <w:numPr>
          <w:ilvl w:val="0"/>
          <w:numId w:val="5"/>
        </w:numPr>
        <w:rPr>
          <w:sz w:val="23"/>
          <w:szCs w:val="23"/>
        </w:rPr>
      </w:pPr>
      <w:r w:rsidRPr="000C6195">
        <w:rPr>
          <w:sz w:val="23"/>
          <w:szCs w:val="23"/>
        </w:rPr>
        <w:t>Women and girls will have equitable access to and use of community sport infrastructure</w:t>
      </w:r>
    </w:p>
    <w:p w14:paraId="7AC949E3" w14:textId="269F0285" w:rsidR="000C6195" w:rsidRPr="000C6195" w:rsidRDefault="000C6195" w:rsidP="000C6195">
      <w:pPr>
        <w:pStyle w:val="ListParagraph"/>
        <w:numPr>
          <w:ilvl w:val="1"/>
          <w:numId w:val="5"/>
        </w:numPr>
        <w:rPr>
          <w:sz w:val="23"/>
          <w:szCs w:val="23"/>
        </w:rPr>
      </w:pPr>
      <w:r w:rsidRPr="000C6195">
        <w:rPr>
          <w:sz w:val="23"/>
          <w:szCs w:val="23"/>
        </w:rPr>
        <w:t>of the highest quality available and most convenient</w:t>
      </w:r>
    </w:p>
    <w:p w14:paraId="17247D75" w14:textId="3A8CB508" w:rsidR="000C6195" w:rsidRPr="000C6195" w:rsidRDefault="000C6195" w:rsidP="000C6195">
      <w:pPr>
        <w:pStyle w:val="ListParagraph"/>
        <w:numPr>
          <w:ilvl w:val="1"/>
          <w:numId w:val="5"/>
        </w:numPr>
        <w:rPr>
          <w:sz w:val="23"/>
          <w:szCs w:val="23"/>
        </w:rPr>
      </w:pPr>
      <w:r w:rsidRPr="000C6195">
        <w:rPr>
          <w:sz w:val="23"/>
          <w:szCs w:val="23"/>
        </w:rPr>
        <w:t>at the best and most popular competition and training times and locations</w:t>
      </w:r>
    </w:p>
    <w:p w14:paraId="6DEDABDF" w14:textId="778610C4" w:rsidR="000C6195" w:rsidRPr="000C6195" w:rsidRDefault="000C6195" w:rsidP="000C6195">
      <w:pPr>
        <w:pStyle w:val="ListParagraph"/>
        <w:numPr>
          <w:ilvl w:val="1"/>
          <w:numId w:val="5"/>
        </w:numPr>
        <w:rPr>
          <w:sz w:val="23"/>
          <w:szCs w:val="23"/>
        </w:rPr>
      </w:pPr>
      <w:r w:rsidRPr="000C6195">
        <w:rPr>
          <w:sz w:val="23"/>
          <w:szCs w:val="23"/>
        </w:rPr>
        <w:t>to support existing and new participation opportunities, and a variety of sports</w:t>
      </w:r>
    </w:p>
    <w:p w14:paraId="51E776F5" w14:textId="6E86C74C" w:rsidR="000C6195" w:rsidRPr="000C6195" w:rsidRDefault="000C6195" w:rsidP="000C6195">
      <w:pPr>
        <w:pStyle w:val="ListParagraph"/>
        <w:numPr>
          <w:ilvl w:val="0"/>
          <w:numId w:val="5"/>
        </w:numPr>
        <w:rPr>
          <w:sz w:val="23"/>
          <w:szCs w:val="23"/>
        </w:rPr>
      </w:pPr>
      <w:r w:rsidRPr="000C6195">
        <w:rPr>
          <w:sz w:val="23"/>
          <w:szCs w:val="23"/>
        </w:rPr>
        <w:t>Women and girls should be equitably represented in leadership and governance roles</w:t>
      </w:r>
    </w:p>
    <w:p w14:paraId="37CB730A" w14:textId="3D97208E" w:rsidR="000C6195" w:rsidRPr="000C6195" w:rsidRDefault="000C6195" w:rsidP="000C6195">
      <w:pPr>
        <w:pStyle w:val="ListParagraph"/>
        <w:numPr>
          <w:ilvl w:val="0"/>
          <w:numId w:val="5"/>
        </w:numPr>
        <w:rPr>
          <w:sz w:val="23"/>
          <w:szCs w:val="23"/>
        </w:rPr>
      </w:pPr>
      <w:r w:rsidRPr="000C6195">
        <w:rPr>
          <w:sz w:val="23"/>
          <w:szCs w:val="23"/>
        </w:rPr>
        <w:t>Encourage and support all user groups who access and use community sport infrastructure</w:t>
      </w:r>
      <w:r w:rsidRPr="000C6195">
        <w:rPr>
          <w:sz w:val="23"/>
          <w:szCs w:val="23"/>
        </w:rPr>
        <w:t xml:space="preserve"> </w:t>
      </w:r>
      <w:r w:rsidRPr="000C6195">
        <w:rPr>
          <w:sz w:val="23"/>
          <w:szCs w:val="23"/>
        </w:rPr>
        <w:t>to understand, adopt and implement gender equitable access and use practices</w:t>
      </w:r>
    </w:p>
    <w:p w14:paraId="67AF62E4" w14:textId="2FA880FF" w:rsidR="001552A7" w:rsidRPr="001552A7" w:rsidRDefault="000C6195" w:rsidP="001552A7">
      <w:pPr>
        <w:pStyle w:val="ListParagraph"/>
        <w:numPr>
          <w:ilvl w:val="0"/>
          <w:numId w:val="5"/>
        </w:numPr>
        <w:rPr>
          <w:sz w:val="23"/>
          <w:szCs w:val="23"/>
        </w:rPr>
      </w:pPr>
      <w:r w:rsidRPr="000C6195">
        <w:rPr>
          <w:sz w:val="23"/>
          <w:szCs w:val="23"/>
        </w:rPr>
        <w:t>Prioritise access, use and support to all user groups who demonstrate an ongoing</w:t>
      </w:r>
      <w:r w:rsidRPr="000C6195">
        <w:rPr>
          <w:sz w:val="23"/>
          <w:szCs w:val="23"/>
        </w:rPr>
        <w:t xml:space="preserve"> </w:t>
      </w:r>
      <w:r w:rsidRPr="000C6195">
        <w:rPr>
          <w:sz w:val="23"/>
          <w:szCs w:val="23"/>
        </w:rPr>
        <w:t>commitment to gender equitable access and use of allocated community sport</w:t>
      </w:r>
      <w:r w:rsidRPr="000C6195">
        <w:rPr>
          <w:sz w:val="23"/>
          <w:szCs w:val="23"/>
        </w:rPr>
        <w:t xml:space="preserve"> </w:t>
      </w:r>
      <w:r w:rsidRPr="000C6195">
        <w:rPr>
          <w:sz w:val="23"/>
          <w:szCs w:val="23"/>
        </w:rPr>
        <w:t>infrastructure</w:t>
      </w:r>
    </w:p>
    <w:p w14:paraId="4DC32576" w14:textId="7867F1B6" w:rsidR="00E16033" w:rsidRDefault="001552A7" w:rsidP="001552A7">
      <w:pPr>
        <w:rPr>
          <w:sz w:val="23"/>
          <w:szCs w:val="23"/>
        </w:rPr>
      </w:pPr>
      <w:r>
        <w:rPr>
          <w:sz w:val="23"/>
          <w:szCs w:val="23"/>
        </w:rPr>
        <w:t>Council considers these principles provide clear direction, while also enabling adaption to the specific environment within the City of Whittlesea.</w:t>
      </w:r>
      <w:r w:rsidR="00E16033" w:rsidRPr="001552A7">
        <w:rPr>
          <w:sz w:val="23"/>
          <w:szCs w:val="23"/>
        </w:rPr>
        <w:br/>
      </w:r>
      <w:r w:rsidR="00E16033" w:rsidRPr="001552A7">
        <w:rPr>
          <w:sz w:val="23"/>
          <w:szCs w:val="23"/>
        </w:rPr>
        <w:br/>
      </w:r>
    </w:p>
    <w:p w14:paraId="54EB2CE7" w14:textId="77777777" w:rsidR="001552A7" w:rsidRDefault="001552A7" w:rsidP="001552A7">
      <w:pPr>
        <w:rPr>
          <w:sz w:val="23"/>
          <w:szCs w:val="23"/>
        </w:rPr>
      </w:pPr>
    </w:p>
    <w:p w14:paraId="2B135E88" w14:textId="77777777" w:rsidR="001552A7" w:rsidRDefault="001552A7" w:rsidP="001552A7">
      <w:pPr>
        <w:rPr>
          <w:sz w:val="23"/>
          <w:szCs w:val="23"/>
        </w:rPr>
      </w:pPr>
    </w:p>
    <w:p w14:paraId="58A3C254" w14:textId="4EAC9A6B" w:rsidR="001552A7" w:rsidRPr="001552A7" w:rsidRDefault="001552A7" w:rsidP="001552A7">
      <w:pPr>
        <w:rPr>
          <w:sz w:val="23"/>
          <w:szCs w:val="23"/>
        </w:rPr>
      </w:pPr>
    </w:p>
    <w:tbl>
      <w:tblPr>
        <w:tblStyle w:val="TableGrid"/>
        <w:tblpPr w:leftFromText="180" w:rightFromText="180" w:vertAnchor="text" w:horzAnchor="margin" w:tblpXSpec="center" w:tblpY="1697"/>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6"/>
        <w:gridCol w:w="2566"/>
        <w:gridCol w:w="3388"/>
      </w:tblGrid>
      <w:tr w:rsidR="001552A7" w:rsidRPr="006038BE" w14:paraId="65EA647C" w14:textId="77777777" w:rsidTr="00B407C0">
        <w:trPr>
          <w:trHeight w:val="284"/>
        </w:trPr>
        <w:tc>
          <w:tcPr>
            <w:tcW w:w="2032" w:type="dxa"/>
          </w:tcPr>
          <w:p w14:paraId="5F714BE5" w14:textId="77777777" w:rsidR="001552A7" w:rsidRPr="00AF36FA" w:rsidRDefault="001552A7" w:rsidP="00B407C0">
            <w:pPr>
              <w:rPr>
                <w:sz w:val="23"/>
                <w:szCs w:val="23"/>
              </w:rPr>
            </w:pPr>
            <w:r w:rsidRPr="00AF36FA">
              <w:rPr>
                <w:sz w:val="23"/>
                <w:szCs w:val="23"/>
              </w:rPr>
              <w:t>Date of Adoption</w:t>
            </w:r>
          </w:p>
        </w:tc>
        <w:tc>
          <w:tcPr>
            <w:tcW w:w="2036" w:type="dxa"/>
          </w:tcPr>
          <w:p w14:paraId="18797858" w14:textId="77777777" w:rsidR="001552A7" w:rsidRPr="00AF36FA" w:rsidRDefault="001552A7" w:rsidP="00B407C0">
            <w:pPr>
              <w:rPr>
                <w:sz w:val="23"/>
                <w:szCs w:val="23"/>
              </w:rPr>
            </w:pPr>
            <w:r w:rsidRPr="00AF36FA">
              <w:rPr>
                <w:sz w:val="23"/>
                <w:szCs w:val="23"/>
              </w:rPr>
              <w:t>Next Review Date</w:t>
            </w:r>
          </w:p>
        </w:tc>
        <w:tc>
          <w:tcPr>
            <w:tcW w:w="2566" w:type="dxa"/>
          </w:tcPr>
          <w:p w14:paraId="070A8DE1" w14:textId="77777777" w:rsidR="001552A7" w:rsidRPr="00AF36FA" w:rsidRDefault="001552A7" w:rsidP="00B407C0">
            <w:pPr>
              <w:rPr>
                <w:sz w:val="23"/>
                <w:szCs w:val="23"/>
              </w:rPr>
            </w:pPr>
            <w:r w:rsidRPr="00AF36FA">
              <w:rPr>
                <w:sz w:val="23"/>
                <w:szCs w:val="23"/>
              </w:rPr>
              <w:t>Directorate Responsible</w:t>
            </w:r>
          </w:p>
        </w:tc>
        <w:tc>
          <w:tcPr>
            <w:tcW w:w="3388" w:type="dxa"/>
          </w:tcPr>
          <w:p w14:paraId="3AF1B646" w14:textId="77777777" w:rsidR="001552A7" w:rsidRPr="00AF36FA" w:rsidRDefault="001552A7" w:rsidP="00B407C0">
            <w:pPr>
              <w:rPr>
                <w:sz w:val="23"/>
                <w:szCs w:val="23"/>
              </w:rPr>
            </w:pPr>
            <w:r w:rsidRPr="00AF36FA">
              <w:rPr>
                <w:sz w:val="23"/>
                <w:szCs w:val="23"/>
              </w:rPr>
              <w:t>Department Responsible</w:t>
            </w:r>
          </w:p>
        </w:tc>
      </w:tr>
      <w:tr w:rsidR="001552A7" w:rsidRPr="006038BE" w14:paraId="343B10BC" w14:textId="77777777" w:rsidTr="00B407C0">
        <w:trPr>
          <w:trHeight w:val="579"/>
        </w:trPr>
        <w:tc>
          <w:tcPr>
            <w:tcW w:w="2032" w:type="dxa"/>
          </w:tcPr>
          <w:p w14:paraId="6C1DC6B4" w14:textId="77777777" w:rsidR="001552A7" w:rsidRPr="00AF36FA" w:rsidRDefault="001552A7" w:rsidP="00B407C0">
            <w:pPr>
              <w:rPr>
                <w:color w:val="0070C0"/>
                <w:sz w:val="23"/>
                <w:szCs w:val="23"/>
              </w:rPr>
            </w:pPr>
            <w:r w:rsidRPr="00AF36FA">
              <w:rPr>
                <w:color w:val="0070C0"/>
                <w:sz w:val="23"/>
                <w:szCs w:val="23"/>
              </w:rPr>
              <w:t>18 June 2024</w:t>
            </w:r>
          </w:p>
        </w:tc>
        <w:tc>
          <w:tcPr>
            <w:tcW w:w="2036" w:type="dxa"/>
          </w:tcPr>
          <w:p w14:paraId="4D5CE98A" w14:textId="77777777" w:rsidR="001552A7" w:rsidRPr="00AF36FA" w:rsidRDefault="001552A7" w:rsidP="00B407C0">
            <w:pPr>
              <w:rPr>
                <w:color w:val="0070C0"/>
                <w:sz w:val="23"/>
                <w:szCs w:val="23"/>
              </w:rPr>
            </w:pPr>
            <w:r w:rsidRPr="00AF36FA">
              <w:rPr>
                <w:color w:val="0070C0"/>
                <w:sz w:val="23"/>
                <w:szCs w:val="23"/>
              </w:rPr>
              <w:t>June 2028</w:t>
            </w:r>
          </w:p>
        </w:tc>
        <w:tc>
          <w:tcPr>
            <w:tcW w:w="2566" w:type="dxa"/>
          </w:tcPr>
          <w:p w14:paraId="0078409B" w14:textId="77777777" w:rsidR="001552A7" w:rsidRPr="00AF36FA" w:rsidRDefault="001552A7" w:rsidP="00B407C0">
            <w:pPr>
              <w:rPr>
                <w:color w:val="0070C0"/>
                <w:sz w:val="23"/>
                <w:szCs w:val="23"/>
              </w:rPr>
            </w:pPr>
            <w:r w:rsidRPr="00AF36FA">
              <w:rPr>
                <w:color w:val="0070C0"/>
                <w:sz w:val="23"/>
                <w:szCs w:val="23"/>
              </w:rPr>
              <w:t>Community Wellbeing</w:t>
            </w:r>
          </w:p>
        </w:tc>
        <w:tc>
          <w:tcPr>
            <w:tcW w:w="3388" w:type="dxa"/>
          </w:tcPr>
          <w:p w14:paraId="20533C3F" w14:textId="77777777" w:rsidR="001552A7" w:rsidRPr="00AF36FA" w:rsidRDefault="001552A7" w:rsidP="00B407C0">
            <w:pPr>
              <w:rPr>
                <w:color w:val="0070C0"/>
                <w:sz w:val="23"/>
                <w:szCs w:val="23"/>
              </w:rPr>
            </w:pPr>
            <w:r w:rsidRPr="00AF36FA">
              <w:rPr>
                <w:color w:val="0070C0"/>
                <w:sz w:val="23"/>
                <w:szCs w:val="23"/>
              </w:rPr>
              <w:t>Active &amp; Creative Communities</w:t>
            </w:r>
          </w:p>
        </w:tc>
      </w:tr>
    </w:tbl>
    <w:p w14:paraId="3A8BD2EF" w14:textId="534BDEE9" w:rsidR="00AE25C4" w:rsidRDefault="00AE25C4" w:rsidP="00326991">
      <w:pPr>
        <w:rPr>
          <w:sz w:val="24"/>
          <w:szCs w:val="24"/>
        </w:rPr>
      </w:pPr>
    </w:p>
    <w:p w14:paraId="1A7EDBD0" w14:textId="77777777" w:rsidR="001552A7" w:rsidRDefault="001552A7" w:rsidP="00326991">
      <w:pPr>
        <w:rPr>
          <w:sz w:val="24"/>
          <w:szCs w:val="24"/>
        </w:rPr>
      </w:pPr>
    </w:p>
    <w:p w14:paraId="3D1BC45E" w14:textId="77777777" w:rsidR="001552A7" w:rsidRDefault="001552A7" w:rsidP="00326991">
      <w:pPr>
        <w:rPr>
          <w:sz w:val="24"/>
          <w:szCs w:val="24"/>
        </w:rPr>
      </w:pPr>
    </w:p>
    <w:p w14:paraId="1644B9C1" w14:textId="77777777" w:rsidR="000F6BB4" w:rsidRPr="000F6BB4" w:rsidRDefault="000F6BB4" w:rsidP="00326991">
      <w:pPr>
        <w:rPr>
          <w:b/>
          <w:bCs/>
          <w:sz w:val="24"/>
          <w:szCs w:val="24"/>
          <w:u w:val="single"/>
        </w:rPr>
      </w:pPr>
      <w:r w:rsidRPr="000F6BB4">
        <w:rPr>
          <w:b/>
          <w:bCs/>
          <w:sz w:val="24"/>
          <w:szCs w:val="24"/>
          <w:u w:val="single"/>
        </w:rPr>
        <w:lastRenderedPageBreak/>
        <w:t xml:space="preserve">FOCUS AREAS </w:t>
      </w:r>
    </w:p>
    <w:p w14:paraId="2B8EA038" w14:textId="0F038CFF" w:rsidR="001552A7" w:rsidRDefault="000F6BB4" w:rsidP="00326991">
      <w:pPr>
        <w:rPr>
          <w:sz w:val="24"/>
          <w:szCs w:val="24"/>
        </w:rPr>
      </w:pPr>
      <w:r w:rsidRPr="000F6BB4">
        <w:rPr>
          <w:sz w:val="24"/>
          <w:szCs w:val="24"/>
        </w:rPr>
        <w:t xml:space="preserve">Informed by the Fair Access Principles, Council will </w:t>
      </w:r>
      <w:proofErr w:type="gramStart"/>
      <w:r w:rsidRPr="000F6BB4">
        <w:rPr>
          <w:sz w:val="24"/>
          <w:szCs w:val="24"/>
        </w:rPr>
        <w:t>take action</w:t>
      </w:r>
      <w:proofErr w:type="gramEnd"/>
      <w:r w:rsidRPr="000F6BB4">
        <w:rPr>
          <w:sz w:val="24"/>
          <w:szCs w:val="24"/>
        </w:rPr>
        <w:t xml:space="preserve"> under the following key focus areas.</w:t>
      </w:r>
    </w:p>
    <w:p w14:paraId="655842AF" w14:textId="5C16C7E7" w:rsidR="000F6BB4" w:rsidRDefault="00387AAB" w:rsidP="00326991">
      <w:pPr>
        <w:rPr>
          <w:sz w:val="24"/>
          <w:szCs w:val="24"/>
        </w:rPr>
      </w:pPr>
      <w:r>
        <w:rPr>
          <w:noProof/>
        </w:rPr>
        <w:drawing>
          <wp:anchor distT="0" distB="0" distL="0" distR="0" simplePos="0" relativeHeight="251659264" behindDoc="1" locked="0" layoutInCell="1" allowOverlap="1" wp14:anchorId="70FFCC58" wp14:editId="649F2903">
            <wp:simplePos x="0" y="0"/>
            <wp:positionH relativeFrom="page">
              <wp:posOffset>914400</wp:posOffset>
            </wp:positionH>
            <wp:positionV relativeFrom="paragraph">
              <wp:posOffset>304165</wp:posOffset>
            </wp:positionV>
            <wp:extent cx="5680044" cy="5060918"/>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5680044" cy="5060918"/>
                    </a:xfrm>
                    <a:prstGeom prst="rect">
                      <a:avLst/>
                    </a:prstGeom>
                  </pic:spPr>
                </pic:pic>
              </a:graphicData>
            </a:graphic>
          </wp:anchor>
        </w:drawing>
      </w:r>
    </w:p>
    <w:p w14:paraId="1C2F2F05" w14:textId="77777777" w:rsidR="001552A7" w:rsidRDefault="001552A7" w:rsidP="00326991">
      <w:pPr>
        <w:rPr>
          <w:sz w:val="24"/>
          <w:szCs w:val="24"/>
        </w:rPr>
      </w:pPr>
    </w:p>
    <w:p w14:paraId="77838921" w14:textId="77777777" w:rsidR="001552A7" w:rsidRDefault="001552A7" w:rsidP="00326991">
      <w:pPr>
        <w:rPr>
          <w:sz w:val="24"/>
          <w:szCs w:val="24"/>
        </w:rPr>
      </w:pPr>
    </w:p>
    <w:tbl>
      <w:tblPr>
        <w:tblStyle w:val="TableGrid"/>
        <w:tblpPr w:leftFromText="180" w:rightFromText="180" w:vertAnchor="text" w:horzAnchor="margin" w:tblpXSpec="center" w:tblpY="1511"/>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6"/>
        <w:gridCol w:w="2566"/>
        <w:gridCol w:w="3388"/>
      </w:tblGrid>
      <w:tr w:rsidR="000F7423" w:rsidRPr="006038BE" w14:paraId="3B16AEAE" w14:textId="77777777" w:rsidTr="000F7423">
        <w:trPr>
          <w:trHeight w:val="284"/>
        </w:trPr>
        <w:tc>
          <w:tcPr>
            <w:tcW w:w="2032" w:type="dxa"/>
          </w:tcPr>
          <w:p w14:paraId="110B29F3" w14:textId="77777777" w:rsidR="000F7423" w:rsidRPr="00AF36FA" w:rsidRDefault="000F7423" w:rsidP="000F7423">
            <w:pPr>
              <w:rPr>
                <w:sz w:val="23"/>
                <w:szCs w:val="23"/>
              </w:rPr>
            </w:pPr>
            <w:r w:rsidRPr="00AF36FA">
              <w:rPr>
                <w:sz w:val="23"/>
                <w:szCs w:val="23"/>
              </w:rPr>
              <w:t>Date of Adoption</w:t>
            </w:r>
          </w:p>
        </w:tc>
        <w:tc>
          <w:tcPr>
            <w:tcW w:w="2036" w:type="dxa"/>
          </w:tcPr>
          <w:p w14:paraId="74551961" w14:textId="77777777" w:rsidR="000F7423" w:rsidRPr="00AF36FA" w:rsidRDefault="000F7423" w:rsidP="000F7423">
            <w:pPr>
              <w:rPr>
                <w:sz w:val="23"/>
                <w:szCs w:val="23"/>
              </w:rPr>
            </w:pPr>
            <w:r w:rsidRPr="00AF36FA">
              <w:rPr>
                <w:sz w:val="23"/>
                <w:szCs w:val="23"/>
              </w:rPr>
              <w:t>Next Review Date</w:t>
            </w:r>
          </w:p>
        </w:tc>
        <w:tc>
          <w:tcPr>
            <w:tcW w:w="2566" w:type="dxa"/>
          </w:tcPr>
          <w:p w14:paraId="7FBB90BA" w14:textId="77777777" w:rsidR="000F7423" w:rsidRPr="00AF36FA" w:rsidRDefault="000F7423" w:rsidP="000F7423">
            <w:pPr>
              <w:rPr>
                <w:sz w:val="23"/>
                <w:szCs w:val="23"/>
              </w:rPr>
            </w:pPr>
            <w:r w:rsidRPr="00AF36FA">
              <w:rPr>
                <w:sz w:val="23"/>
                <w:szCs w:val="23"/>
              </w:rPr>
              <w:t>Directorate Responsible</w:t>
            </w:r>
          </w:p>
        </w:tc>
        <w:tc>
          <w:tcPr>
            <w:tcW w:w="3388" w:type="dxa"/>
          </w:tcPr>
          <w:p w14:paraId="59AC1E63" w14:textId="77777777" w:rsidR="000F7423" w:rsidRPr="00AF36FA" w:rsidRDefault="000F7423" w:rsidP="000F7423">
            <w:pPr>
              <w:rPr>
                <w:sz w:val="23"/>
                <w:szCs w:val="23"/>
              </w:rPr>
            </w:pPr>
            <w:r w:rsidRPr="00AF36FA">
              <w:rPr>
                <w:sz w:val="23"/>
                <w:szCs w:val="23"/>
              </w:rPr>
              <w:t>Department Responsible</w:t>
            </w:r>
          </w:p>
        </w:tc>
      </w:tr>
      <w:tr w:rsidR="000F7423" w:rsidRPr="006038BE" w14:paraId="1A311B8C" w14:textId="77777777" w:rsidTr="000F7423">
        <w:trPr>
          <w:trHeight w:val="579"/>
        </w:trPr>
        <w:tc>
          <w:tcPr>
            <w:tcW w:w="2032" w:type="dxa"/>
          </w:tcPr>
          <w:p w14:paraId="70382692" w14:textId="77777777" w:rsidR="000F7423" w:rsidRPr="00AF36FA" w:rsidRDefault="000F7423" w:rsidP="000F7423">
            <w:pPr>
              <w:rPr>
                <w:color w:val="0070C0"/>
                <w:sz w:val="23"/>
                <w:szCs w:val="23"/>
              </w:rPr>
            </w:pPr>
            <w:r w:rsidRPr="00AF36FA">
              <w:rPr>
                <w:color w:val="0070C0"/>
                <w:sz w:val="23"/>
                <w:szCs w:val="23"/>
              </w:rPr>
              <w:t>18 June 2024</w:t>
            </w:r>
          </w:p>
        </w:tc>
        <w:tc>
          <w:tcPr>
            <w:tcW w:w="2036" w:type="dxa"/>
          </w:tcPr>
          <w:p w14:paraId="352C9551" w14:textId="77777777" w:rsidR="000F7423" w:rsidRPr="00AF36FA" w:rsidRDefault="000F7423" w:rsidP="000F7423">
            <w:pPr>
              <w:rPr>
                <w:color w:val="0070C0"/>
                <w:sz w:val="23"/>
                <w:szCs w:val="23"/>
              </w:rPr>
            </w:pPr>
            <w:r w:rsidRPr="00AF36FA">
              <w:rPr>
                <w:color w:val="0070C0"/>
                <w:sz w:val="23"/>
                <w:szCs w:val="23"/>
              </w:rPr>
              <w:t>June 2028</w:t>
            </w:r>
          </w:p>
        </w:tc>
        <w:tc>
          <w:tcPr>
            <w:tcW w:w="2566" w:type="dxa"/>
          </w:tcPr>
          <w:p w14:paraId="0A691C05" w14:textId="77777777" w:rsidR="000F7423" w:rsidRPr="00AF36FA" w:rsidRDefault="000F7423" w:rsidP="000F7423">
            <w:pPr>
              <w:rPr>
                <w:color w:val="0070C0"/>
                <w:sz w:val="23"/>
                <w:szCs w:val="23"/>
              </w:rPr>
            </w:pPr>
            <w:r w:rsidRPr="00AF36FA">
              <w:rPr>
                <w:color w:val="0070C0"/>
                <w:sz w:val="23"/>
                <w:szCs w:val="23"/>
              </w:rPr>
              <w:t>Community Wellbeing</w:t>
            </w:r>
          </w:p>
        </w:tc>
        <w:tc>
          <w:tcPr>
            <w:tcW w:w="3388" w:type="dxa"/>
          </w:tcPr>
          <w:p w14:paraId="7D64AC40" w14:textId="77777777" w:rsidR="000F7423" w:rsidRPr="00AF36FA" w:rsidRDefault="000F7423" w:rsidP="000F7423">
            <w:pPr>
              <w:rPr>
                <w:color w:val="0070C0"/>
                <w:sz w:val="23"/>
                <w:szCs w:val="23"/>
              </w:rPr>
            </w:pPr>
            <w:r w:rsidRPr="00AF36FA">
              <w:rPr>
                <w:color w:val="0070C0"/>
                <w:sz w:val="23"/>
                <w:szCs w:val="23"/>
              </w:rPr>
              <w:t>Active &amp; Creative Communities</w:t>
            </w:r>
          </w:p>
        </w:tc>
      </w:tr>
    </w:tbl>
    <w:p w14:paraId="240BCB4F" w14:textId="54E8DA6E" w:rsidR="001015AD" w:rsidRDefault="001015AD" w:rsidP="00326991">
      <w:pPr>
        <w:rPr>
          <w:sz w:val="24"/>
          <w:szCs w:val="24"/>
        </w:rPr>
      </w:pPr>
      <w:r w:rsidRPr="001015AD">
        <w:rPr>
          <w:sz w:val="24"/>
          <w:szCs w:val="24"/>
        </w:rPr>
        <w:t>The Policy</w:t>
      </w:r>
      <w:r w:rsidR="000F7423">
        <w:rPr>
          <w:sz w:val="24"/>
          <w:szCs w:val="24"/>
        </w:rPr>
        <w:t xml:space="preserve"> </w:t>
      </w:r>
      <w:r w:rsidRPr="001015AD">
        <w:rPr>
          <w:sz w:val="24"/>
          <w:szCs w:val="24"/>
        </w:rPr>
        <w:t>is designed to:</w:t>
      </w:r>
    </w:p>
    <w:p w14:paraId="798EF8A6" w14:textId="2292C506" w:rsidR="000F7423" w:rsidRDefault="000F7423" w:rsidP="00326991">
      <w:pPr>
        <w:rPr>
          <w:sz w:val="24"/>
          <w:szCs w:val="24"/>
        </w:rPr>
      </w:pPr>
    </w:p>
    <w:p w14:paraId="7473A769" w14:textId="77777777" w:rsidR="00546E6D" w:rsidRDefault="00546E6D" w:rsidP="00326991">
      <w:pPr>
        <w:rPr>
          <w:sz w:val="24"/>
          <w:szCs w:val="24"/>
        </w:rPr>
      </w:pPr>
    </w:p>
    <w:p w14:paraId="1F1BFAA8" w14:textId="77777777" w:rsidR="00546E6D" w:rsidRDefault="00546E6D" w:rsidP="00546E6D">
      <w:pPr>
        <w:pStyle w:val="ListParagraph"/>
      </w:pPr>
    </w:p>
    <w:p w14:paraId="47232468" w14:textId="13EA506C" w:rsidR="001015AD" w:rsidRPr="004073E0" w:rsidRDefault="001015AD" w:rsidP="001015AD">
      <w:pPr>
        <w:pStyle w:val="ListParagraph"/>
        <w:numPr>
          <w:ilvl w:val="0"/>
          <w:numId w:val="6"/>
        </w:numPr>
      </w:pPr>
      <w:r w:rsidRPr="004073E0">
        <w:t>Guide future sporting infrastructure development with a focus on fair access for all</w:t>
      </w:r>
    </w:p>
    <w:p w14:paraId="2A387C81" w14:textId="1E5CF7B8" w:rsidR="001015AD" w:rsidRPr="004073E0" w:rsidRDefault="001015AD" w:rsidP="001015AD">
      <w:pPr>
        <w:pStyle w:val="ListParagraph"/>
        <w:numPr>
          <w:ilvl w:val="0"/>
          <w:numId w:val="6"/>
        </w:numPr>
      </w:pPr>
      <w:r w:rsidRPr="004073E0">
        <w:t>Ensure the provision of safe, inclusive spaces within sporting clubs where women and</w:t>
      </w:r>
      <w:r w:rsidRPr="004073E0">
        <w:t xml:space="preserve"> </w:t>
      </w:r>
      <w:r w:rsidRPr="004073E0">
        <w:t>girls are welcomed</w:t>
      </w:r>
    </w:p>
    <w:p w14:paraId="540D28B8" w14:textId="2F0A719B" w:rsidR="001015AD" w:rsidRPr="004073E0" w:rsidRDefault="001015AD" w:rsidP="001015AD">
      <w:pPr>
        <w:pStyle w:val="ListParagraph"/>
        <w:numPr>
          <w:ilvl w:val="0"/>
          <w:numId w:val="6"/>
        </w:numPr>
      </w:pPr>
      <w:r w:rsidRPr="004073E0">
        <w:t>Incorporate Fair Access principles into Council policies and strategies</w:t>
      </w:r>
    </w:p>
    <w:p w14:paraId="6036EA3E" w14:textId="6F980969" w:rsidR="001015AD" w:rsidRPr="004073E0" w:rsidRDefault="001015AD" w:rsidP="001015AD">
      <w:pPr>
        <w:pStyle w:val="ListParagraph"/>
        <w:numPr>
          <w:ilvl w:val="0"/>
          <w:numId w:val="6"/>
        </w:numPr>
      </w:pPr>
      <w:r w:rsidRPr="004073E0">
        <w:t>Comply with the Gender Equality Act 2020, and the wider Victorian Government gender</w:t>
      </w:r>
      <w:r w:rsidRPr="004073E0">
        <w:t xml:space="preserve"> </w:t>
      </w:r>
      <w:r w:rsidRPr="004073E0">
        <w:t>equality strategy, Safe and Strong.</w:t>
      </w:r>
    </w:p>
    <w:p w14:paraId="37A480C1" w14:textId="15F91C8E" w:rsidR="005521B0" w:rsidRPr="004073E0" w:rsidRDefault="005521B0" w:rsidP="005521B0">
      <w:r w:rsidRPr="004073E0">
        <w:t>Council acknowledges:</w:t>
      </w:r>
    </w:p>
    <w:p w14:paraId="4ADC5207" w14:textId="601342CA" w:rsidR="005521B0" w:rsidRPr="004073E0" w:rsidRDefault="005521B0" w:rsidP="005521B0">
      <w:pPr>
        <w:pStyle w:val="ListParagraph"/>
        <w:numPr>
          <w:ilvl w:val="0"/>
          <w:numId w:val="7"/>
        </w:numPr>
      </w:pPr>
      <w:r w:rsidRPr="004073E0">
        <w:t>The disadvantaged position women, girls and gender diverse people have had in sport</w:t>
      </w:r>
      <w:r w:rsidRPr="004073E0">
        <w:t xml:space="preserve"> </w:t>
      </w:r>
      <w:r w:rsidRPr="004073E0">
        <w:t>and recreation due to structural and attitudinal discrimination.</w:t>
      </w:r>
    </w:p>
    <w:p w14:paraId="13089EAA" w14:textId="323E0D7D" w:rsidR="005521B0" w:rsidRPr="004073E0" w:rsidRDefault="005521B0" w:rsidP="005521B0">
      <w:pPr>
        <w:pStyle w:val="ListParagraph"/>
        <w:numPr>
          <w:ilvl w:val="0"/>
          <w:numId w:val="7"/>
        </w:numPr>
      </w:pPr>
      <w:r w:rsidRPr="004073E0">
        <w:t>That achieving gender equality will require different approaches for women and girls,</w:t>
      </w:r>
      <w:r w:rsidRPr="004073E0">
        <w:t xml:space="preserve"> </w:t>
      </w:r>
      <w:r w:rsidRPr="004073E0">
        <w:t>men and boys and gender diverse people to achieve equitable outcomes for people of</w:t>
      </w:r>
      <w:r w:rsidRPr="004073E0">
        <w:t xml:space="preserve"> </w:t>
      </w:r>
      <w:r w:rsidRPr="004073E0">
        <w:t>all genders.</w:t>
      </w:r>
      <w:r w:rsidRPr="004073E0">
        <w:t>’</w:t>
      </w:r>
    </w:p>
    <w:p w14:paraId="1672934D" w14:textId="51BA4BA6" w:rsidR="005521B0" w:rsidRPr="004073E0" w:rsidRDefault="005521B0" w:rsidP="005521B0">
      <w:r w:rsidRPr="004073E0">
        <w:t>Council will:</w:t>
      </w:r>
    </w:p>
    <w:p w14:paraId="080DCD27" w14:textId="3D210A4C" w:rsidR="00AD47AE" w:rsidRPr="004073E0" w:rsidRDefault="00AD47AE" w:rsidP="00AD47AE">
      <w:pPr>
        <w:pStyle w:val="ListParagraph"/>
        <w:numPr>
          <w:ilvl w:val="0"/>
          <w:numId w:val="8"/>
        </w:numPr>
      </w:pPr>
      <w:r w:rsidRPr="004073E0">
        <w:t>Engage fairly and equitably with all staff, governance working groups, state sporting</w:t>
      </w:r>
      <w:r w:rsidRPr="004073E0">
        <w:t xml:space="preserve"> </w:t>
      </w:r>
      <w:r w:rsidRPr="004073E0">
        <w:t>organisations, regional sport assemblies (where applicable) and members of our sport</w:t>
      </w:r>
      <w:r w:rsidRPr="004073E0">
        <w:t xml:space="preserve"> </w:t>
      </w:r>
      <w:r w:rsidRPr="004073E0">
        <w:t>and recreation community, regardless of their gender, in a positive, respectful, and</w:t>
      </w:r>
      <w:r w:rsidRPr="004073E0">
        <w:t xml:space="preserve"> </w:t>
      </w:r>
      <w:r w:rsidRPr="004073E0">
        <w:t>constructive manner</w:t>
      </w:r>
    </w:p>
    <w:p w14:paraId="1483FD87" w14:textId="62E5EC20" w:rsidR="00AD47AE" w:rsidRPr="004073E0" w:rsidRDefault="00AD47AE" w:rsidP="00AD47AE">
      <w:pPr>
        <w:pStyle w:val="ListParagraph"/>
        <w:numPr>
          <w:ilvl w:val="0"/>
          <w:numId w:val="8"/>
        </w:numPr>
      </w:pPr>
      <w:r w:rsidRPr="004073E0">
        <w:t>Engage in the process of Gender Impact Assessments to assess the implications for</w:t>
      </w:r>
      <w:r w:rsidRPr="004073E0">
        <w:t xml:space="preserve"> </w:t>
      </w:r>
      <w:r w:rsidRPr="004073E0">
        <w:t xml:space="preserve">women, </w:t>
      </w:r>
      <w:proofErr w:type="gramStart"/>
      <w:r w:rsidRPr="004073E0">
        <w:t>men</w:t>
      </w:r>
      <w:proofErr w:type="gramEnd"/>
      <w:r w:rsidRPr="004073E0">
        <w:t xml:space="preserve"> and gender diverse people of any planned action, including policies and</w:t>
      </w:r>
      <w:r w:rsidRPr="004073E0">
        <w:t xml:space="preserve"> </w:t>
      </w:r>
      <w:r w:rsidRPr="004073E0">
        <w:t>communications. This is a strategy for making all voices, concerns and experiences, an</w:t>
      </w:r>
      <w:r w:rsidRPr="004073E0">
        <w:t xml:space="preserve"> </w:t>
      </w:r>
      <w:r w:rsidRPr="004073E0">
        <w:t>integral dimension of the design, implementation, monitoring of policies and programs.</w:t>
      </w:r>
    </w:p>
    <w:p w14:paraId="26A1EBE7" w14:textId="08A56575" w:rsidR="00AD47AE" w:rsidRPr="004073E0" w:rsidRDefault="00AD47AE" w:rsidP="00AD47AE">
      <w:pPr>
        <w:pStyle w:val="ListParagraph"/>
        <w:numPr>
          <w:ilvl w:val="0"/>
          <w:numId w:val="8"/>
        </w:numPr>
      </w:pPr>
      <w:r w:rsidRPr="004073E0">
        <w:t>Review and update lease and license and Service Level Agreements and incorporate Fair</w:t>
      </w:r>
      <w:r w:rsidRPr="004073E0">
        <w:t xml:space="preserve"> </w:t>
      </w:r>
      <w:r w:rsidRPr="004073E0">
        <w:t>Access practices and principles where applicable.</w:t>
      </w:r>
    </w:p>
    <w:p w14:paraId="3D347906" w14:textId="4C31F79E" w:rsidR="005521B0" w:rsidRPr="004073E0" w:rsidRDefault="00AD47AE" w:rsidP="00AD47AE">
      <w:pPr>
        <w:pStyle w:val="ListParagraph"/>
        <w:numPr>
          <w:ilvl w:val="0"/>
          <w:numId w:val="8"/>
        </w:numPr>
      </w:pPr>
      <w:r w:rsidRPr="004073E0">
        <w:t>Operationalise the Fair Access Policy through an Action Plan that is reviewed biannually.</w:t>
      </w:r>
    </w:p>
    <w:p w14:paraId="64C31E8A" w14:textId="49E967EE" w:rsidR="000F7423" w:rsidRPr="004073E0" w:rsidRDefault="000F7423" w:rsidP="000F7423">
      <w:r w:rsidRPr="004073E0">
        <w:t>Sporting Clubs will:</w:t>
      </w:r>
    </w:p>
    <w:p w14:paraId="3C5E0F56" w14:textId="73722838" w:rsidR="000F7423" w:rsidRPr="004073E0" w:rsidRDefault="000F7423" w:rsidP="000F7423">
      <w:pPr>
        <w:pStyle w:val="ListParagraph"/>
        <w:numPr>
          <w:ilvl w:val="0"/>
          <w:numId w:val="9"/>
        </w:numPr>
      </w:pPr>
      <w:r w:rsidRPr="004073E0">
        <w:t>Outline how they comply with the Fair Access Policy as part of Council’s seasonal or</w:t>
      </w:r>
      <w:r w:rsidRPr="004073E0">
        <w:t xml:space="preserve"> </w:t>
      </w:r>
      <w:r w:rsidRPr="004073E0">
        <w:t>annual application process based on consultation with Club members</w:t>
      </w:r>
    </w:p>
    <w:p w14:paraId="7F7F35C6" w14:textId="7D7DDF5B" w:rsidR="000F7423" w:rsidRPr="004073E0" w:rsidRDefault="000F7423" w:rsidP="000F7423">
      <w:pPr>
        <w:pStyle w:val="ListParagraph"/>
        <w:numPr>
          <w:ilvl w:val="0"/>
          <w:numId w:val="9"/>
        </w:numPr>
      </w:pPr>
      <w:r w:rsidRPr="004073E0">
        <w:t>Undertake a Gender Equity Audit in consultation with Council Officers</w:t>
      </w:r>
    </w:p>
    <w:p w14:paraId="4E3EDD79" w14:textId="3D64B5FC" w:rsidR="000F7423" w:rsidRPr="004073E0" w:rsidRDefault="000F7423" w:rsidP="000F7423">
      <w:pPr>
        <w:pStyle w:val="ListParagraph"/>
        <w:numPr>
          <w:ilvl w:val="0"/>
          <w:numId w:val="9"/>
        </w:numPr>
      </w:pPr>
      <w:r w:rsidRPr="004073E0">
        <w:t>Incorporate actions developed through the Gender Equity Audit in their</w:t>
      </w:r>
      <w:r w:rsidRPr="004073E0">
        <w:t xml:space="preserve"> </w:t>
      </w:r>
      <w:r w:rsidRPr="004073E0">
        <w:t>Strategic/Business Plan and report annually to Council on progress</w:t>
      </w:r>
    </w:p>
    <w:p w14:paraId="5CC33E33" w14:textId="50C51921" w:rsidR="000F7423" w:rsidRPr="004073E0" w:rsidRDefault="000F7423" w:rsidP="000F7423">
      <w:pPr>
        <w:pStyle w:val="ListParagraph"/>
        <w:numPr>
          <w:ilvl w:val="0"/>
          <w:numId w:val="9"/>
        </w:numPr>
      </w:pPr>
      <w:r w:rsidRPr="004073E0">
        <w:t>Work with State and Regional Sporting Associations to</w:t>
      </w:r>
      <w:r w:rsidRPr="004073E0">
        <w:t xml:space="preserve"> </w:t>
      </w:r>
      <w:r w:rsidRPr="004073E0">
        <w:t>ensure fixtures comply with the</w:t>
      </w:r>
      <w:r w:rsidRPr="004073E0">
        <w:t xml:space="preserve"> </w:t>
      </w:r>
      <w:r w:rsidRPr="004073E0">
        <w:t>Fair Access Policy</w:t>
      </w:r>
    </w:p>
    <w:tbl>
      <w:tblPr>
        <w:tblStyle w:val="TableGrid"/>
        <w:tblpPr w:leftFromText="180" w:rightFromText="180" w:vertAnchor="text" w:horzAnchor="margin" w:tblpXSpec="center" w:tblpY="1332"/>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2036"/>
        <w:gridCol w:w="2566"/>
        <w:gridCol w:w="3388"/>
      </w:tblGrid>
      <w:tr w:rsidR="00546E6D" w:rsidRPr="006038BE" w14:paraId="7568E13A" w14:textId="77777777" w:rsidTr="00045CB8">
        <w:trPr>
          <w:trHeight w:val="284"/>
        </w:trPr>
        <w:tc>
          <w:tcPr>
            <w:tcW w:w="2032" w:type="dxa"/>
          </w:tcPr>
          <w:p w14:paraId="60434886" w14:textId="77777777" w:rsidR="00546E6D" w:rsidRPr="00AF36FA" w:rsidRDefault="00546E6D" w:rsidP="00045CB8">
            <w:pPr>
              <w:rPr>
                <w:sz w:val="23"/>
                <w:szCs w:val="23"/>
              </w:rPr>
            </w:pPr>
            <w:r w:rsidRPr="00AF36FA">
              <w:rPr>
                <w:sz w:val="23"/>
                <w:szCs w:val="23"/>
              </w:rPr>
              <w:t>Date of Adoption</w:t>
            </w:r>
          </w:p>
        </w:tc>
        <w:tc>
          <w:tcPr>
            <w:tcW w:w="2036" w:type="dxa"/>
          </w:tcPr>
          <w:p w14:paraId="10422D13" w14:textId="77777777" w:rsidR="00546E6D" w:rsidRPr="00AF36FA" w:rsidRDefault="00546E6D" w:rsidP="00045CB8">
            <w:pPr>
              <w:rPr>
                <w:sz w:val="23"/>
                <w:szCs w:val="23"/>
              </w:rPr>
            </w:pPr>
            <w:r w:rsidRPr="00AF36FA">
              <w:rPr>
                <w:sz w:val="23"/>
                <w:szCs w:val="23"/>
              </w:rPr>
              <w:t>Next Review Date</w:t>
            </w:r>
          </w:p>
        </w:tc>
        <w:tc>
          <w:tcPr>
            <w:tcW w:w="2566" w:type="dxa"/>
          </w:tcPr>
          <w:p w14:paraId="55C7F70F" w14:textId="77777777" w:rsidR="00546E6D" w:rsidRPr="00AF36FA" w:rsidRDefault="00546E6D" w:rsidP="00045CB8">
            <w:pPr>
              <w:rPr>
                <w:sz w:val="23"/>
                <w:szCs w:val="23"/>
              </w:rPr>
            </w:pPr>
            <w:r w:rsidRPr="00AF36FA">
              <w:rPr>
                <w:sz w:val="23"/>
                <w:szCs w:val="23"/>
              </w:rPr>
              <w:t>Directorate Responsible</w:t>
            </w:r>
          </w:p>
        </w:tc>
        <w:tc>
          <w:tcPr>
            <w:tcW w:w="3388" w:type="dxa"/>
          </w:tcPr>
          <w:p w14:paraId="735DED63" w14:textId="77777777" w:rsidR="00546E6D" w:rsidRPr="00AF36FA" w:rsidRDefault="00546E6D" w:rsidP="00045CB8">
            <w:pPr>
              <w:rPr>
                <w:sz w:val="23"/>
                <w:szCs w:val="23"/>
              </w:rPr>
            </w:pPr>
            <w:r w:rsidRPr="00AF36FA">
              <w:rPr>
                <w:sz w:val="23"/>
                <w:szCs w:val="23"/>
              </w:rPr>
              <w:t>Department Responsible</w:t>
            </w:r>
          </w:p>
        </w:tc>
      </w:tr>
      <w:tr w:rsidR="00546E6D" w:rsidRPr="006038BE" w14:paraId="08FF7ECA" w14:textId="77777777" w:rsidTr="00045CB8">
        <w:trPr>
          <w:trHeight w:val="579"/>
        </w:trPr>
        <w:tc>
          <w:tcPr>
            <w:tcW w:w="2032" w:type="dxa"/>
          </w:tcPr>
          <w:p w14:paraId="53956E6C" w14:textId="77777777" w:rsidR="00546E6D" w:rsidRPr="00AF36FA" w:rsidRDefault="00546E6D" w:rsidP="00045CB8">
            <w:pPr>
              <w:rPr>
                <w:color w:val="0070C0"/>
                <w:sz w:val="23"/>
                <w:szCs w:val="23"/>
              </w:rPr>
            </w:pPr>
            <w:r w:rsidRPr="00AF36FA">
              <w:rPr>
                <w:color w:val="0070C0"/>
                <w:sz w:val="23"/>
                <w:szCs w:val="23"/>
              </w:rPr>
              <w:t>18 June 2024</w:t>
            </w:r>
          </w:p>
        </w:tc>
        <w:tc>
          <w:tcPr>
            <w:tcW w:w="2036" w:type="dxa"/>
          </w:tcPr>
          <w:p w14:paraId="26BA04EB" w14:textId="77777777" w:rsidR="00546E6D" w:rsidRPr="00AF36FA" w:rsidRDefault="00546E6D" w:rsidP="00045CB8">
            <w:pPr>
              <w:rPr>
                <w:color w:val="0070C0"/>
                <w:sz w:val="23"/>
                <w:szCs w:val="23"/>
              </w:rPr>
            </w:pPr>
            <w:r w:rsidRPr="00AF36FA">
              <w:rPr>
                <w:color w:val="0070C0"/>
                <w:sz w:val="23"/>
                <w:szCs w:val="23"/>
              </w:rPr>
              <w:t>June 2028</w:t>
            </w:r>
          </w:p>
        </w:tc>
        <w:tc>
          <w:tcPr>
            <w:tcW w:w="2566" w:type="dxa"/>
          </w:tcPr>
          <w:p w14:paraId="495B837D" w14:textId="77777777" w:rsidR="00546E6D" w:rsidRPr="00AF36FA" w:rsidRDefault="00546E6D" w:rsidP="00045CB8">
            <w:pPr>
              <w:rPr>
                <w:color w:val="0070C0"/>
                <w:sz w:val="23"/>
                <w:szCs w:val="23"/>
              </w:rPr>
            </w:pPr>
            <w:r w:rsidRPr="00AF36FA">
              <w:rPr>
                <w:color w:val="0070C0"/>
                <w:sz w:val="23"/>
                <w:szCs w:val="23"/>
              </w:rPr>
              <w:t>Community Wellbeing</w:t>
            </w:r>
          </w:p>
        </w:tc>
        <w:tc>
          <w:tcPr>
            <w:tcW w:w="3388" w:type="dxa"/>
          </w:tcPr>
          <w:p w14:paraId="56D01D43" w14:textId="77777777" w:rsidR="00546E6D" w:rsidRPr="00AF36FA" w:rsidRDefault="00546E6D" w:rsidP="00045CB8">
            <w:pPr>
              <w:rPr>
                <w:color w:val="0070C0"/>
                <w:sz w:val="23"/>
                <w:szCs w:val="23"/>
              </w:rPr>
            </w:pPr>
            <w:r w:rsidRPr="00AF36FA">
              <w:rPr>
                <w:color w:val="0070C0"/>
                <w:sz w:val="23"/>
                <w:szCs w:val="23"/>
              </w:rPr>
              <w:t>Active &amp; Creative Communities</w:t>
            </w:r>
          </w:p>
        </w:tc>
      </w:tr>
    </w:tbl>
    <w:p w14:paraId="49362329" w14:textId="6214C3DA" w:rsidR="000F7423" w:rsidRPr="004073E0" w:rsidRDefault="000F7423" w:rsidP="000F7423">
      <w:pPr>
        <w:pStyle w:val="ListParagraph"/>
        <w:numPr>
          <w:ilvl w:val="0"/>
          <w:numId w:val="9"/>
        </w:numPr>
      </w:pPr>
      <w:r w:rsidRPr="004073E0">
        <w:t>Comply with the Fair Access Sporting Club Action Plan developed by Council in</w:t>
      </w:r>
      <w:r w:rsidRPr="004073E0">
        <w:t xml:space="preserve"> </w:t>
      </w:r>
      <w:r w:rsidRPr="004073E0">
        <w:t>consultation with the community to ensure ongoing access to ground allocation and</w:t>
      </w:r>
      <w:r w:rsidRPr="004073E0">
        <w:t xml:space="preserve"> </w:t>
      </w:r>
      <w:r w:rsidRPr="004073E0">
        <w:t>infrastructure.</w:t>
      </w:r>
    </w:p>
    <w:p w14:paraId="581C80BA" w14:textId="1C0473BB" w:rsidR="001552A7" w:rsidRPr="00045CB8" w:rsidRDefault="000F7423" w:rsidP="00326991">
      <w:pPr>
        <w:pStyle w:val="ListParagraph"/>
        <w:numPr>
          <w:ilvl w:val="0"/>
          <w:numId w:val="9"/>
        </w:numPr>
      </w:pPr>
      <w:r w:rsidRPr="004073E0">
        <w:t>Provide club registration numbers as part of their annual ground application request.</w:t>
      </w:r>
    </w:p>
    <w:sectPr w:rsidR="001552A7" w:rsidRPr="00045CB8" w:rsidSect="003C5729">
      <w:headerReference w:type="default" r:id="rId9"/>
      <w:footerReference w:type="default" r:id="rId10"/>
      <w:pgSz w:w="11906" w:h="16838"/>
      <w:pgMar w:top="1440" w:right="1440" w:bottom="1440" w:left="1440" w:header="11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AA261" w14:textId="77777777" w:rsidR="003C5729" w:rsidRDefault="003C5729" w:rsidP="003C5729">
      <w:pPr>
        <w:spacing w:after="0" w:line="240" w:lineRule="auto"/>
      </w:pPr>
      <w:r>
        <w:separator/>
      </w:r>
    </w:p>
  </w:endnote>
  <w:endnote w:type="continuationSeparator" w:id="0">
    <w:p w14:paraId="2ADC7A52" w14:textId="77777777" w:rsidR="003C5729" w:rsidRDefault="003C5729" w:rsidP="003C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Liberation Sans Narrow">
    <w:altName w:val="Arial"/>
    <w:charset w:val="00"/>
    <w:family w:val="swiss"/>
    <w:pitch w:val="variable"/>
  </w:font>
  <w:font w:name="VL PGothic">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F7EA" w14:textId="77777777" w:rsidR="007D0BD3" w:rsidRPr="007D0BD3" w:rsidRDefault="007D0BD3" w:rsidP="007D0BD3">
    <w:pPr>
      <w:pStyle w:val="Footer"/>
      <w:jc w:val="right"/>
    </w:pPr>
    <w:r w:rsidRPr="007D0BD3">
      <w:t xml:space="preserve">Page </w:t>
    </w:r>
    <w:r w:rsidRPr="007D0BD3">
      <w:fldChar w:fldCharType="begin"/>
    </w:r>
    <w:r w:rsidRPr="007D0BD3">
      <w:instrText xml:space="preserve"> PAGE  \* Arabic  \* MERGEFORMAT </w:instrText>
    </w:r>
    <w:r w:rsidRPr="007D0BD3">
      <w:fldChar w:fldCharType="separate"/>
    </w:r>
    <w:r w:rsidRPr="007D0BD3">
      <w:rPr>
        <w:noProof/>
      </w:rPr>
      <w:t>2</w:t>
    </w:r>
    <w:r w:rsidRPr="007D0BD3">
      <w:fldChar w:fldCharType="end"/>
    </w:r>
    <w:r w:rsidRPr="007D0BD3">
      <w:t xml:space="preserve"> of </w:t>
    </w:r>
    <w:fldSimple w:instr=" NUMPAGES  \* Arabic  \* MERGEFORMAT ">
      <w:r w:rsidRPr="007D0BD3">
        <w:rPr>
          <w:noProof/>
        </w:rPr>
        <w:t>2</w:t>
      </w:r>
    </w:fldSimple>
  </w:p>
  <w:p w14:paraId="0CE726D8" w14:textId="77777777" w:rsidR="007D0BD3" w:rsidRDefault="007D0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154E" w14:textId="77777777" w:rsidR="003C5729" w:rsidRDefault="003C5729" w:rsidP="003C5729">
      <w:pPr>
        <w:spacing w:after="0" w:line="240" w:lineRule="auto"/>
      </w:pPr>
      <w:r>
        <w:separator/>
      </w:r>
    </w:p>
  </w:footnote>
  <w:footnote w:type="continuationSeparator" w:id="0">
    <w:p w14:paraId="12E308A5" w14:textId="77777777" w:rsidR="003C5729" w:rsidRDefault="003C5729" w:rsidP="003C5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DA31" w14:textId="4D61A8BE" w:rsidR="003C5729" w:rsidRDefault="003C5729" w:rsidP="003C5729">
    <w:pPr>
      <w:pStyle w:val="Header"/>
    </w:pPr>
    <w:r>
      <w:rPr>
        <w:noProof/>
      </w:rPr>
      <w:drawing>
        <wp:anchor distT="0" distB="0" distL="114300" distR="114300" simplePos="0" relativeHeight="251658240" behindDoc="1" locked="0" layoutInCell="1" allowOverlap="1" wp14:anchorId="369351DF" wp14:editId="7E538195">
          <wp:simplePos x="0" y="0"/>
          <wp:positionH relativeFrom="page">
            <wp:posOffset>-38100</wp:posOffset>
          </wp:positionH>
          <wp:positionV relativeFrom="paragraph">
            <wp:posOffset>-90805</wp:posOffset>
          </wp:positionV>
          <wp:extent cx="6883400" cy="1496695"/>
          <wp:effectExtent l="0" t="0" r="0" b="8255"/>
          <wp:wrapTight wrapText="bothSides">
            <wp:wrapPolygon edited="0">
              <wp:start x="0" y="0"/>
              <wp:lineTo x="0" y="17045"/>
              <wp:lineTo x="3467" y="17870"/>
              <wp:lineTo x="14466" y="21444"/>
              <wp:lineTo x="14885" y="21444"/>
              <wp:lineTo x="16080" y="21444"/>
              <wp:lineTo x="21520" y="19245"/>
              <wp:lineTo x="21520" y="7973"/>
              <wp:lineTo x="20923" y="4124"/>
              <wp:lineTo x="17694"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83400" cy="1496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87B"/>
    <w:multiLevelType w:val="hybridMultilevel"/>
    <w:tmpl w:val="1E6804BC"/>
    <w:lvl w:ilvl="0" w:tplc="E52A19F2">
      <w:start w:val="1"/>
      <w:numFmt w:val="decimal"/>
      <w:lvlText w:val="%1."/>
      <w:lvlJc w:val="left"/>
      <w:pPr>
        <w:ind w:left="720" w:hanging="360"/>
      </w:pPr>
      <w:rPr>
        <w:rFonts w:hint="default"/>
        <w:b/>
        <w:bCs/>
      </w:rPr>
    </w:lvl>
    <w:lvl w:ilvl="1" w:tplc="D0828D2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CE450E"/>
    <w:multiLevelType w:val="hybridMultilevel"/>
    <w:tmpl w:val="F496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27A55"/>
    <w:multiLevelType w:val="hybridMultilevel"/>
    <w:tmpl w:val="A9B64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183B5B"/>
    <w:multiLevelType w:val="hybridMultilevel"/>
    <w:tmpl w:val="A0F07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F4664F"/>
    <w:multiLevelType w:val="hybridMultilevel"/>
    <w:tmpl w:val="7EFE7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9688F"/>
    <w:multiLevelType w:val="hybridMultilevel"/>
    <w:tmpl w:val="F1281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A90FD5"/>
    <w:multiLevelType w:val="hybridMultilevel"/>
    <w:tmpl w:val="3C0C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952670"/>
    <w:multiLevelType w:val="hybridMultilevel"/>
    <w:tmpl w:val="C3B8D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800D3E"/>
    <w:multiLevelType w:val="hybridMultilevel"/>
    <w:tmpl w:val="8B1C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0"/>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29"/>
    <w:rsid w:val="00021494"/>
    <w:rsid w:val="00045CB8"/>
    <w:rsid w:val="00083863"/>
    <w:rsid w:val="000C6195"/>
    <w:rsid w:val="000F6BB4"/>
    <w:rsid w:val="000F7423"/>
    <w:rsid w:val="001015AD"/>
    <w:rsid w:val="00145289"/>
    <w:rsid w:val="001552A7"/>
    <w:rsid w:val="00190E33"/>
    <w:rsid w:val="001F39A1"/>
    <w:rsid w:val="00326991"/>
    <w:rsid w:val="00387AAB"/>
    <w:rsid w:val="00393EEF"/>
    <w:rsid w:val="003A09D6"/>
    <w:rsid w:val="003C5729"/>
    <w:rsid w:val="004073E0"/>
    <w:rsid w:val="00465086"/>
    <w:rsid w:val="0048114C"/>
    <w:rsid w:val="00546E6D"/>
    <w:rsid w:val="005521B0"/>
    <w:rsid w:val="005E7889"/>
    <w:rsid w:val="006019FF"/>
    <w:rsid w:val="006038BE"/>
    <w:rsid w:val="0067246E"/>
    <w:rsid w:val="00783E84"/>
    <w:rsid w:val="00785A0D"/>
    <w:rsid w:val="007C2322"/>
    <w:rsid w:val="007D0BD3"/>
    <w:rsid w:val="00854208"/>
    <w:rsid w:val="009E354F"/>
    <w:rsid w:val="009F6585"/>
    <w:rsid w:val="00A36ACD"/>
    <w:rsid w:val="00AD47AE"/>
    <w:rsid w:val="00AD6B10"/>
    <w:rsid w:val="00AE25C4"/>
    <w:rsid w:val="00AF36FA"/>
    <w:rsid w:val="00BA410B"/>
    <w:rsid w:val="00C25FD3"/>
    <w:rsid w:val="00C57E90"/>
    <w:rsid w:val="00C97225"/>
    <w:rsid w:val="00CA4BBF"/>
    <w:rsid w:val="00D819BF"/>
    <w:rsid w:val="00D90BCD"/>
    <w:rsid w:val="00E16033"/>
    <w:rsid w:val="00EA7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D2550"/>
  <w15:chartTrackingRefBased/>
  <w15:docId w15:val="{74A3A146-98A3-4E19-AF71-5EFE46BA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29"/>
  </w:style>
  <w:style w:type="paragraph" w:styleId="Footer">
    <w:name w:val="footer"/>
    <w:basedOn w:val="Normal"/>
    <w:link w:val="FooterChar"/>
    <w:uiPriority w:val="99"/>
    <w:unhideWhenUsed/>
    <w:rsid w:val="003C5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29"/>
  </w:style>
  <w:style w:type="paragraph" w:customStyle="1" w:styleId="Default">
    <w:name w:val="Default"/>
    <w:rsid w:val="0002149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E7889"/>
    <w:pPr>
      <w:ind w:left="720"/>
      <w:contextualSpacing/>
    </w:pPr>
  </w:style>
  <w:style w:type="table" w:styleId="TableGrid">
    <w:name w:val="Table Grid"/>
    <w:basedOn w:val="TableNormal"/>
    <w:uiPriority w:val="39"/>
    <w:rsid w:val="00A36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4208"/>
    <w:pPr>
      <w:widowControl w:val="0"/>
      <w:autoSpaceDE w:val="0"/>
      <w:autoSpaceDN w:val="0"/>
      <w:spacing w:after="0" w:line="240" w:lineRule="auto"/>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5AA3-0961-4134-9B5E-B6BE2E81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McCambridge</dc:creator>
  <cp:keywords/>
  <dc:description/>
  <cp:lastModifiedBy>Sonia McCambridge</cp:lastModifiedBy>
  <cp:revision>43</cp:revision>
  <dcterms:created xsi:type="dcterms:W3CDTF">2024-06-21T03:43:00Z</dcterms:created>
  <dcterms:modified xsi:type="dcterms:W3CDTF">2024-06-21T04:31:00Z</dcterms:modified>
</cp:coreProperties>
</file>