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46F89A" w14:textId="481112BF" w:rsidR="00A506F1" w:rsidRPr="008353BF" w:rsidRDefault="00A506F1" w:rsidP="00357DEB">
      <w:pPr>
        <w:tabs>
          <w:tab w:val="right" w:pos="8931"/>
        </w:tabs>
        <w:autoSpaceDE w:val="0"/>
        <w:autoSpaceDN w:val="0"/>
        <w:adjustRightInd w:val="0"/>
        <w:spacing w:after="0" w:line="240" w:lineRule="auto"/>
        <w:jc w:val="left"/>
        <w:rPr>
          <w:rFonts w:ascii="Calibri-Light" w:eastAsiaTheme="minorEastAsia" w:hAnsi="Calibri-Light" w:cs="Calibri-Light"/>
          <w:sz w:val="120"/>
          <w:szCs w:val="120"/>
          <w:lang w:val="en-AU" w:eastAsia="zh-CN"/>
        </w:rPr>
      </w:pPr>
      <w:r w:rsidRPr="008353BF">
        <w:rPr>
          <w:rFonts w:ascii="Calibri-Light" w:eastAsiaTheme="minorEastAsia" w:hAnsi="Calibri-Light" w:cs="Calibri-Light"/>
          <w:noProof/>
          <w:sz w:val="120"/>
          <w:szCs w:val="120"/>
          <w:lang w:val="en-AU" w:eastAsia="zh-CN"/>
        </w:rPr>
        <w:drawing>
          <wp:inline distT="0" distB="0" distL="0" distR="0" wp14:anchorId="4709B8FA" wp14:editId="5B0A25A9">
            <wp:extent cx="2619375" cy="925513"/>
            <wp:effectExtent l="0" t="0" r="0" b="8255"/>
            <wp:docPr id="2" name="Picture 2" descr="Logo of the City of Whittlese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43363" cy="933989"/>
                    </a:xfrm>
                    <a:prstGeom prst="rect">
                      <a:avLst/>
                    </a:prstGeom>
                    <a:noFill/>
                    <a:ln>
                      <a:noFill/>
                    </a:ln>
                  </pic:spPr>
                </pic:pic>
              </a:graphicData>
            </a:graphic>
          </wp:inline>
        </w:drawing>
      </w:r>
      <w:r w:rsidR="00357DEB" w:rsidRPr="008353BF">
        <w:rPr>
          <w:rFonts w:ascii="Calibri-Light" w:eastAsiaTheme="minorEastAsia" w:hAnsi="Calibri-Light" w:cs="Calibri-Light"/>
          <w:sz w:val="120"/>
          <w:szCs w:val="120"/>
          <w:lang w:val="en-AU" w:eastAsia="zh-CN"/>
        </w:rPr>
        <w:tab/>
      </w:r>
      <w:r w:rsidR="00357DEB" w:rsidRPr="008353BF">
        <w:rPr>
          <w:rFonts w:ascii="Calibri-Light" w:eastAsiaTheme="minorEastAsia" w:hAnsi="Calibri-Light" w:cs="Calibri-Light"/>
          <w:noProof/>
          <w:sz w:val="120"/>
          <w:szCs w:val="120"/>
          <w:lang w:val="en-AU" w:eastAsia="zh-CN"/>
        </w:rPr>
        <w:drawing>
          <wp:inline distT="0" distB="0" distL="0" distR="0" wp14:anchorId="356BC42F" wp14:editId="7F113CE4">
            <wp:extent cx="1174280" cy="1133475"/>
            <wp:effectExtent l="0" t="0" r="6985" b="0"/>
            <wp:docPr id="1" name="Picture 1" descr="An Initiative of Whittlesea 2040 Bann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2865" cy="1141762"/>
                    </a:xfrm>
                    <a:prstGeom prst="rect">
                      <a:avLst/>
                    </a:prstGeom>
                    <a:noFill/>
                    <a:ln>
                      <a:noFill/>
                    </a:ln>
                  </pic:spPr>
                </pic:pic>
              </a:graphicData>
            </a:graphic>
          </wp:inline>
        </w:drawing>
      </w:r>
    </w:p>
    <w:p w14:paraId="26BC25EE" w14:textId="598F1AE2" w:rsidR="0021281D" w:rsidRPr="008353BF" w:rsidRDefault="00357DEB" w:rsidP="00357DEB">
      <w:pPr>
        <w:pStyle w:val="Title"/>
        <w:jc w:val="left"/>
      </w:pPr>
      <w:r w:rsidRPr="008353BF">
        <w:rPr>
          <w:i/>
          <w:iCs/>
          <w:sz w:val="56"/>
          <w:szCs w:val="56"/>
        </w:rPr>
        <w:t xml:space="preserve">the right </w:t>
      </w:r>
      <w:r w:rsidRPr="008353BF">
        <w:rPr>
          <w:i/>
          <w:iCs/>
          <w:sz w:val="56"/>
          <w:szCs w:val="56"/>
        </w:rPr>
        <w:br/>
        <w:t>place for</w:t>
      </w:r>
      <w:r w:rsidRPr="008353BF">
        <w:rPr>
          <w:sz w:val="56"/>
          <w:szCs w:val="56"/>
        </w:rPr>
        <w:t xml:space="preserve"> </w:t>
      </w:r>
      <w:r w:rsidRPr="008353BF">
        <w:br/>
      </w:r>
      <w:r w:rsidRPr="008353BF">
        <w:rPr>
          <w:b/>
          <w:bCs/>
        </w:rPr>
        <w:t>Agribusiness</w:t>
      </w:r>
    </w:p>
    <w:p w14:paraId="1B07EA37" w14:textId="586EDD3C" w:rsidR="00A506F1" w:rsidRPr="008353BF" w:rsidRDefault="00A506F1" w:rsidP="00A506F1">
      <w:pPr>
        <w:pStyle w:val="Subtitle"/>
        <w:rPr>
          <w:lang w:val="en-AU"/>
        </w:rPr>
        <w:sectPr w:rsidR="00A506F1" w:rsidRPr="008353BF" w:rsidSect="00357DEB">
          <w:footerReference w:type="even" r:id="rId10"/>
          <w:pgSz w:w="11906" w:h="16838" w:code="9"/>
          <w:pgMar w:top="1440" w:right="1440" w:bottom="1440" w:left="1440" w:header="708" w:footer="708" w:gutter="0"/>
          <w:cols w:space="708"/>
          <w:docGrid w:linePitch="360"/>
        </w:sectPr>
      </w:pPr>
    </w:p>
    <w:p w14:paraId="19B0EFCA" w14:textId="553B77D0" w:rsidR="00A506F1" w:rsidRPr="008353BF" w:rsidRDefault="00357DEB" w:rsidP="00C01DA6">
      <w:pPr>
        <w:pStyle w:val="Heading1Intro"/>
      </w:pPr>
      <w:r w:rsidRPr="008353BF">
        <w:lastRenderedPageBreak/>
        <w:t>Chair, Panel of Administrators</w:t>
      </w:r>
    </w:p>
    <w:p w14:paraId="7FF01528" w14:textId="77777777" w:rsidR="00357DEB" w:rsidRPr="008353BF" w:rsidRDefault="00357DEB" w:rsidP="00357DEB">
      <w:pPr>
        <w:rPr>
          <w:lang w:val="en-AU" w:eastAsia="zh-CN"/>
        </w:rPr>
      </w:pPr>
      <w:r w:rsidRPr="008353BF">
        <w:rPr>
          <w:noProof/>
          <w:lang w:val="en-AU" w:eastAsia="zh-CN"/>
        </w:rPr>
        <w:drawing>
          <wp:inline distT="0" distB="0" distL="0" distR="0" wp14:anchorId="36563530" wp14:editId="744A0AA4">
            <wp:extent cx="1127576" cy="1123950"/>
            <wp:effectExtent l="0" t="0" r="0" b="0"/>
            <wp:docPr id="4" name="Picture 4" descr="Photograph of Ms Lydia Wil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33757" cy="1130112"/>
                    </a:xfrm>
                    <a:prstGeom prst="rect">
                      <a:avLst/>
                    </a:prstGeom>
                    <a:noFill/>
                    <a:ln>
                      <a:noFill/>
                    </a:ln>
                  </pic:spPr>
                </pic:pic>
              </a:graphicData>
            </a:graphic>
          </wp:inline>
        </w:drawing>
      </w:r>
    </w:p>
    <w:p w14:paraId="65705CF2" w14:textId="151F1B4F" w:rsidR="00357DEB" w:rsidRPr="008353BF" w:rsidRDefault="00357DEB" w:rsidP="00357DEB">
      <w:pPr>
        <w:jc w:val="left"/>
        <w:rPr>
          <w:lang w:val="en-AU" w:eastAsia="zh-CN"/>
        </w:rPr>
      </w:pPr>
      <w:r w:rsidRPr="008353BF">
        <w:rPr>
          <w:lang w:val="en-AU" w:eastAsia="zh-CN"/>
        </w:rPr>
        <w:t xml:space="preserve">CHAIR, PANEL OF ADMINISTRATORS, </w:t>
      </w:r>
      <w:r w:rsidRPr="008353BF">
        <w:rPr>
          <w:lang w:val="en-AU" w:eastAsia="zh-CN"/>
        </w:rPr>
        <w:br/>
        <w:t>MS LYDIA WILSON</w:t>
      </w:r>
    </w:p>
    <w:p w14:paraId="656763BD" w14:textId="359C59EC" w:rsidR="00357DEB" w:rsidRPr="008353BF" w:rsidRDefault="00357DEB" w:rsidP="003D0AAF">
      <w:pPr>
        <w:pStyle w:val="Summary"/>
      </w:pPr>
      <w:r w:rsidRPr="008353BF">
        <w:t>The City of Whittlesea strongly supports the agricultural sector and encourages new agribusinesses to grow and prosper in our region.</w:t>
      </w:r>
    </w:p>
    <w:p w14:paraId="10B29843" w14:textId="58340ADC" w:rsidR="00EA3F00" w:rsidRPr="008353BF" w:rsidRDefault="00EA3F00" w:rsidP="00EA3F00">
      <w:pPr>
        <w:rPr>
          <w:lang w:val="en-AU" w:eastAsia="zh-CN"/>
        </w:rPr>
      </w:pPr>
      <w:r w:rsidRPr="008353BF">
        <w:rPr>
          <w:lang w:val="en-AU" w:eastAsia="zh-CN"/>
        </w:rPr>
        <w:t>Our vision is to utilise innovative, best practice, farming techniques and solutions to become a major contributor to Melbourne’s peri-urban food bowl.</w:t>
      </w:r>
    </w:p>
    <w:p w14:paraId="1AC16426" w14:textId="1933633E" w:rsidR="00EA3F00" w:rsidRPr="008353BF" w:rsidRDefault="00EA3F00" w:rsidP="00EA3F00">
      <w:pPr>
        <w:rPr>
          <w:lang w:val="en-AU" w:eastAsia="zh-CN"/>
        </w:rPr>
      </w:pPr>
      <w:r w:rsidRPr="008353BF">
        <w:rPr>
          <w:lang w:val="en-AU" w:eastAsia="zh-CN"/>
        </w:rPr>
        <w:t>To maximise our local agricultural capability, Council is actively seeking to attract investment into new and existing agribusinesses and encourage sustainable farming practices.</w:t>
      </w:r>
    </w:p>
    <w:p w14:paraId="5073E175" w14:textId="45673355" w:rsidR="00EA3F00" w:rsidRPr="008353BF" w:rsidRDefault="00EA3F00" w:rsidP="00EA3F00">
      <w:pPr>
        <w:rPr>
          <w:lang w:val="en-AU" w:eastAsia="zh-CN"/>
        </w:rPr>
      </w:pPr>
      <w:r w:rsidRPr="008353BF">
        <w:rPr>
          <w:lang w:val="en-AU" w:eastAsia="zh-CN"/>
        </w:rPr>
        <w:t>With productive and viable farming land located in close proximity to major regional transport and infrastructure, along with access to recycled water, a skilled workforce and local farmers’ markets, agribusinesses are set to thrive in the City of Whittlesea.</w:t>
      </w:r>
    </w:p>
    <w:p w14:paraId="0F15E127" w14:textId="7ADED397" w:rsidR="00EA3F00" w:rsidRPr="008353BF" w:rsidRDefault="00EA3F00" w:rsidP="00EA3F00">
      <w:pPr>
        <w:rPr>
          <w:lang w:val="en-AU" w:eastAsia="zh-CN"/>
        </w:rPr>
      </w:pPr>
      <w:r w:rsidRPr="008353BF">
        <w:rPr>
          <w:lang w:val="en-AU" w:eastAsia="zh-CN"/>
        </w:rPr>
        <w:t>We are investigating opportunities for agriculture in our region, including:</w:t>
      </w:r>
    </w:p>
    <w:p w14:paraId="556B4C04" w14:textId="2FDA692F" w:rsidR="00EA3F00" w:rsidRPr="008353BF" w:rsidRDefault="00EA3F00" w:rsidP="00EA3F00">
      <w:pPr>
        <w:pStyle w:val="ListParagraph"/>
        <w:rPr>
          <w:lang w:val="en-AU"/>
        </w:rPr>
      </w:pPr>
      <w:r w:rsidRPr="008353BF">
        <w:rPr>
          <w:lang w:val="en-AU"/>
        </w:rPr>
        <w:t>Identifying and protecting high quality farm land</w:t>
      </w:r>
    </w:p>
    <w:p w14:paraId="10500DCC" w14:textId="0E7CA519" w:rsidR="00EA3F00" w:rsidRPr="008353BF" w:rsidRDefault="00EA3F00" w:rsidP="00EA3F00">
      <w:pPr>
        <w:pStyle w:val="ListParagraph"/>
        <w:rPr>
          <w:lang w:val="en-AU"/>
        </w:rPr>
      </w:pPr>
      <w:r w:rsidRPr="008353BF">
        <w:rPr>
          <w:lang w:val="en-AU"/>
        </w:rPr>
        <w:t>Pathways to starting an agribusiness</w:t>
      </w:r>
    </w:p>
    <w:p w14:paraId="6A2E0481" w14:textId="60CA8139" w:rsidR="00EA3F00" w:rsidRPr="008353BF" w:rsidRDefault="00EA3F00" w:rsidP="00EA3F00">
      <w:pPr>
        <w:pStyle w:val="ListParagraph"/>
        <w:rPr>
          <w:lang w:val="en-AU"/>
        </w:rPr>
      </w:pPr>
      <w:r w:rsidRPr="008353BF">
        <w:rPr>
          <w:lang w:val="en-AU"/>
        </w:rPr>
        <w:t>Building the supply and value-add chain</w:t>
      </w:r>
    </w:p>
    <w:p w14:paraId="026FA7F4" w14:textId="629034C4" w:rsidR="00EA3F00" w:rsidRPr="008353BF" w:rsidRDefault="00EA3F00" w:rsidP="00EA3F00">
      <w:pPr>
        <w:pStyle w:val="ListParagraph"/>
        <w:rPr>
          <w:lang w:val="en-AU"/>
        </w:rPr>
      </w:pPr>
      <w:r w:rsidRPr="008353BF">
        <w:rPr>
          <w:lang w:val="en-AU"/>
        </w:rPr>
        <w:t>Agritourism</w:t>
      </w:r>
    </w:p>
    <w:p w14:paraId="3A27248D" w14:textId="6463B610" w:rsidR="00EA3F00" w:rsidRPr="008353BF" w:rsidRDefault="00EA3F00" w:rsidP="00EA3F00">
      <w:pPr>
        <w:pStyle w:val="ListParagraph"/>
        <w:rPr>
          <w:lang w:val="en-AU"/>
        </w:rPr>
      </w:pPr>
      <w:r w:rsidRPr="008353BF">
        <w:rPr>
          <w:lang w:val="en-AU"/>
        </w:rPr>
        <w:t>Networking events for new and existing agribusinesses and farmers</w:t>
      </w:r>
    </w:p>
    <w:p w14:paraId="277C8105" w14:textId="63DD6166" w:rsidR="00EA3F00" w:rsidRPr="008353BF" w:rsidRDefault="00EA3F00" w:rsidP="00EA3F00">
      <w:pPr>
        <w:rPr>
          <w:lang w:val="en-AU" w:eastAsia="zh-CN"/>
        </w:rPr>
      </w:pPr>
      <w:r w:rsidRPr="008353BF">
        <w:rPr>
          <w:lang w:val="en-AU" w:eastAsia="zh-CN"/>
        </w:rPr>
        <w:t>This prospectus showcases current initiatives such as the Whittlesea Community Food and Farm Collective – a collaboration with Melbourne Polytechnic, Whittlesea Community Connections and Yarra Valley Water to develop a mixed farming enterprise.</w:t>
      </w:r>
    </w:p>
    <w:p w14:paraId="1986B95C" w14:textId="5B82731C" w:rsidR="00EA3F00" w:rsidRPr="008353BF" w:rsidRDefault="00EA3F00" w:rsidP="00EA3F00">
      <w:pPr>
        <w:rPr>
          <w:lang w:val="en-AU" w:eastAsia="zh-CN"/>
        </w:rPr>
      </w:pPr>
      <w:r w:rsidRPr="008353BF">
        <w:rPr>
          <w:lang w:val="en-AU" w:eastAsia="zh-CN"/>
        </w:rPr>
        <w:t>This is just one of many projects in the pipeline designed to support our emerging agricultural industry.</w:t>
      </w:r>
    </w:p>
    <w:p w14:paraId="4A327220" w14:textId="27E16289" w:rsidR="00357DEB" w:rsidRPr="008353BF" w:rsidRDefault="00EA3F00" w:rsidP="00EA3F00">
      <w:pPr>
        <w:rPr>
          <w:lang w:val="en-AU" w:eastAsia="zh-CN"/>
        </w:rPr>
      </w:pPr>
      <w:r w:rsidRPr="008353BF">
        <w:rPr>
          <w:lang w:val="en-AU" w:eastAsia="zh-CN"/>
        </w:rPr>
        <w:t>We look forward to partnering with you to further develop opportunities identified in this prospectus and uncover more creative, exciting and innovat</w:t>
      </w:r>
      <w:r w:rsidR="00AE341F">
        <w:rPr>
          <w:lang w:val="en-AU" w:eastAsia="zh-CN"/>
        </w:rPr>
        <w:t>ive</w:t>
      </w:r>
      <w:r w:rsidRPr="008353BF">
        <w:rPr>
          <w:lang w:val="en-AU" w:eastAsia="zh-CN"/>
        </w:rPr>
        <w:t xml:space="preserve"> agribusinesses all within an enviable urban fringe location.</w:t>
      </w:r>
    </w:p>
    <w:p w14:paraId="75BB7E9A" w14:textId="77777777" w:rsidR="00EA3F00" w:rsidRPr="008353BF" w:rsidRDefault="00EA3F00" w:rsidP="00C01DA6">
      <w:pPr>
        <w:pStyle w:val="Heading1Intro"/>
      </w:pPr>
      <w:r w:rsidRPr="008353BF">
        <w:lastRenderedPageBreak/>
        <w:t>Contents</w:t>
      </w:r>
    </w:p>
    <w:p w14:paraId="640CC7C0" w14:textId="6188B5ED" w:rsidR="00A32135" w:rsidRPr="008353BF" w:rsidRDefault="00A32135" w:rsidP="00A32135">
      <w:pPr>
        <w:pStyle w:val="TOC1"/>
        <w:tabs>
          <w:tab w:val="clear" w:pos="4536"/>
          <w:tab w:val="left" w:pos="5670"/>
        </w:tabs>
        <w:ind w:right="3356"/>
        <w:jc w:val="left"/>
        <w:rPr>
          <w:rFonts w:eastAsiaTheme="minorEastAsia"/>
          <w:sz w:val="28"/>
          <w:lang w:val="en-AU" w:eastAsia="zh-CN"/>
        </w:rPr>
      </w:pPr>
      <w:r w:rsidRPr="008353BF">
        <w:rPr>
          <w:lang w:val="en-AU" w:eastAsia="zh-CN"/>
        </w:rPr>
        <w:fldChar w:fldCharType="begin"/>
      </w:r>
      <w:r w:rsidRPr="008353BF">
        <w:rPr>
          <w:lang w:val="en-AU" w:eastAsia="zh-CN"/>
        </w:rPr>
        <w:instrText xml:space="preserve"> TOC \o "2-2" \h \z \t "Heading 1,1" </w:instrText>
      </w:r>
      <w:r w:rsidRPr="008353BF">
        <w:rPr>
          <w:lang w:val="en-AU" w:eastAsia="zh-CN"/>
        </w:rPr>
        <w:fldChar w:fldCharType="separate"/>
      </w:r>
      <w:hyperlink w:anchor="_Toc54864544" w:history="1">
        <w:r w:rsidRPr="008353BF">
          <w:rPr>
            <w:rStyle w:val="Hyperlink"/>
            <w:lang w:val="en-AU"/>
          </w:rPr>
          <w:t>Agriculture snapshot</w:t>
        </w:r>
        <w:r w:rsidRPr="008353BF">
          <w:rPr>
            <w:webHidden/>
            <w:lang w:val="en-AU"/>
          </w:rPr>
          <w:tab/>
        </w:r>
        <w:r w:rsidRPr="008353BF">
          <w:rPr>
            <w:webHidden/>
            <w:lang w:val="en-AU"/>
          </w:rPr>
          <w:fldChar w:fldCharType="begin"/>
        </w:r>
        <w:r w:rsidRPr="008353BF">
          <w:rPr>
            <w:webHidden/>
            <w:lang w:val="en-AU"/>
          </w:rPr>
          <w:instrText xml:space="preserve"> PAGEREF _Toc54864544 \h </w:instrText>
        </w:r>
        <w:r w:rsidRPr="008353BF">
          <w:rPr>
            <w:webHidden/>
            <w:lang w:val="en-AU"/>
          </w:rPr>
        </w:r>
        <w:r w:rsidRPr="008353BF">
          <w:rPr>
            <w:webHidden/>
            <w:lang w:val="en-AU"/>
          </w:rPr>
          <w:fldChar w:fldCharType="separate"/>
        </w:r>
        <w:r w:rsidRPr="008353BF">
          <w:rPr>
            <w:webHidden/>
            <w:lang w:val="en-AU"/>
          </w:rPr>
          <w:t>4</w:t>
        </w:r>
        <w:r w:rsidRPr="008353BF">
          <w:rPr>
            <w:webHidden/>
            <w:lang w:val="en-AU"/>
          </w:rPr>
          <w:fldChar w:fldCharType="end"/>
        </w:r>
      </w:hyperlink>
    </w:p>
    <w:p w14:paraId="5957EE7C" w14:textId="52B10DEC" w:rsidR="00A32135" w:rsidRPr="008353BF" w:rsidRDefault="00507B83" w:rsidP="00A32135">
      <w:pPr>
        <w:pStyle w:val="TOC1"/>
        <w:tabs>
          <w:tab w:val="clear" w:pos="4536"/>
          <w:tab w:val="left" w:pos="5670"/>
        </w:tabs>
        <w:ind w:right="3356"/>
        <w:jc w:val="left"/>
        <w:rPr>
          <w:rFonts w:eastAsiaTheme="minorEastAsia"/>
          <w:sz w:val="28"/>
          <w:lang w:val="en-AU" w:eastAsia="zh-CN"/>
        </w:rPr>
      </w:pPr>
      <w:hyperlink w:anchor="_Toc54864545" w:history="1">
        <w:r w:rsidR="00A32135" w:rsidRPr="008353BF">
          <w:rPr>
            <w:rStyle w:val="Hyperlink"/>
            <w:lang w:val="en-AU"/>
          </w:rPr>
          <w:t>Whittlesea’s competitive advantage</w:t>
        </w:r>
        <w:r w:rsidR="00A32135" w:rsidRPr="008353BF">
          <w:rPr>
            <w:webHidden/>
            <w:lang w:val="en-AU"/>
          </w:rPr>
          <w:tab/>
        </w:r>
        <w:r w:rsidR="00A32135" w:rsidRPr="008353BF">
          <w:rPr>
            <w:webHidden/>
            <w:lang w:val="en-AU"/>
          </w:rPr>
          <w:fldChar w:fldCharType="begin"/>
        </w:r>
        <w:r w:rsidR="00A32135" w:rsidRPr="008353BF">
          <w:rPr>
            <w:webHidden/>
            <w:lang w:val="en-AU"/>
          </w:rPr>
          <w:instrText xml:space="preserve"> PAGEREF _Toc54864545 \h </w:instrText>
        </w:r>
        <w:r w:rsidR="00A32135" w:rsidRPr="008353BF">
          <w:rPr>
            <w:webHidden/>
            <w:lang w:val="en-AU"/>
          </w:rPr>
        </w:r>
        <w:r w:rsidR="00A32135" w:rsidRPr="008353BF">
          <w:rPr>
            <w:webHidden/>
            <w:lang w:val="en-AU"/>
          </w:rPr>
          <w:fldChar w:fldCharType="separate"/>
        </w:r>
        <w:r w:rsidR="00A32135" w:rsidRPr="008353BF">
          <w:rPr>
            <w:webHidden/>
            <w:lang w:val="en-AU"/>
          </w:rPr>
          <w:t>6</w:t>
        </w:r>
        <w:r w:rsidR="00A32135" w:rsidRPr="008353BF">
          <w:rPr>
            <w:webHidden/>
            <w:lang w:val="en-AU"/>
          </w:rPr>
          <w:fldChar w:fldCharType="end"/>
        </w:r>
      </w:hyperlink>
    </w:p>
    <w:p w14:paraId="1D64EDCE" w14:textId="3302B48B" w:rsidR="00A32135" w:rsidRPr="008353BF" w:rsidRDefault="00507B83" w:rsidP="00A32135">
      <w:pPr>
        <w:pStyle w:val="TOC1"/>
        <w:tabs>
          <w:tab w:val="clear" w:pos="4536"/>
          <w:tab w:val="left" w:pos="5670"/>
        </w:tabs>
        <w:ind w:right="3356"/>
        <w:jc w:val="left"/>
        <w:rPr>
          <w:rFonts w:eastAsiaTheme="minorEastAsia"/>
          <w:sz w:val="28"/>
          <w:lang w:val="en-AU" w:eastAsia="zh-CN"/>
        </w:rPr>
      </w:pPr>
      <w:hyperlink w:anchor="_Toc54864546" w:history="1">
        <w:r w:rsidR="00A32135" w:rsidRPr="008353BF">
          <w:rPr>
            <w:rStyle w:val="Hyperlink"/>
            <w:lang w:val="en-AU"/>
          </w:rPr>
          <w:t>Major Initiatives</w:t>
        </w:r>
        <w:r w:rsidR="00A32135" w:rsidRPr="008353BF">
          <w:rPr>
            <w:webHidden/>
            <w:lang w:val="en-AU"/>
          </w:rPr>
          <w:tab/>
        </w:r>
        <w:r w:rsidR="00A32135" w:rsidRPr="008353BF">
          <w:rPr>
            <w:webHidden/>
            <w:lang w:val="en-AU"/>
          </w:rPr>
          <w:fldChar w:fldCharType="begin"/>
        </w:r>
        <w:r w:rsidR="00A32135" w:rsidRPr="008353BF">
          <w:rPr>
            <w:webHidden/>
            <w:lang w:val="en-AU"/>
          </w:rPr>
          <w:instrText xml:space="preserve"> PAGEREF _Toc54864546 \h </w:instrText>
        </w:r>
        <w:r w:rsidR="00A32135" w:rsidRPr="008353BF">
          <w:rPr>
            <w:webHidden/>
            <w:lang w:val="en-AU"/>
          </w:rPr>
        </w:r>
        <w:r w:rsidR="00A32135" w:rsidRPr="008353BF">
          <w:rPr>
            <w:webHidden/>
            <w:lang w:val="en-AU"/>
          </w:rPr>
          <w:fldChar w:fldCharType="separate"/>
        </w:r>
        <w:r w:rsidR="00A32135" w:rsidRPr="008353BF">
          <w:rPr>
            <w:webHidden/>
            <w:lang w:val="en-AU"/>
          </w:rPr>
          <w:t>8</w:t>
        </w:r>
        <w:r w:rsidR="00A32135" w:rsidRPr="008353BF">
          <w:rPr>
            <w:webHidden/>
            <w:lang w:val="en-AU"/>
          </w:rPr>
          <w:fldChar w:fldCharType="end"/>
        </w:r>
      </w:hyperlink>
    </w:p>
    <w:p w14:paraId="4403BABF" w14:textId="3FA3D4B2" w:rsidR="00A32135" w:rsidRPr="008353BF" w:rsidRDefault="00507B83" w:rsidP="00A32135">
      <w:pPr>
        <w:pStyle w:val="TOC2"/>
        <w:tabs>
          <w:tab w:val="left" w:pos="5670"/>
          <w:tab w:val="right" w:pos="9016"/>
        </w:tabs>
        <w:ind w:right="3356"/>
        <w:jc w:val="left"/>
        <w:rPr>
          <w:rFonts w:eastAsiaTheme="minorEastAsia"/>
          <w:noProof/>
          <w:sz w:val="22"/>
          <w:lang w:val="en-AU" w:eastAsia="zh-CN"/>
        </w:rPr>
      </w:pPr>
      <w:hyperlink w:anchor="_Toc54864547" w:history="1">
        <w:r w:rsidR="00A32135" w:rsidRPr="008353BF">
          <w:rPr>
            <w:rStyle w:val="Hyperlink"/>
            <w:noProof/>
            <w:lang w:val="en-AU"/>
          </w:rPr>
          <w:t>State Government Advocacy</w:t>
        </w:r>
        <w:r w:rsidR="00A32135" w:rsidRPr="008353BF">
          <w:rPr>
            <w:noProof/>
            <w:webHidden/>
            <w:lang w:val="en-AU"/>
          </w:rPr>
          <w:tab/>
        </w:r>
        <w:r w:rsidR="00A32135" w:rsidRPr="008353BF">
          <w:rPr>
            <w:noProof/>
            <w:webHidden/>
            <w:lang w:val="en-AU"/>
          </w:rPr>
          <w:fldChar w:fldCharType="begin"/>
        </w:r>
        <w:r w:rsidR="00A32135" w:rsidRPr="008353BF">
          <w:rPr>
            <w:noProof/>
            <w:webHidden/>
            <w:lang w:val="en-AU"/>
          </w:rPr>
          <w:instrText xml:space="preserve"> PAGEREF _Toc54864547 \h </w:instrText>
        </w:r>
        <w:r w:rsidR="00A32135" w:rsidRPr="008353BF">
          <w:rPr>
            <w:noProof/>
            <w:webHidden/>
            <w:lang w:val="en-AU"/>
          </w:rPr>
        </w:r>
        <w:r w:rsidR="00A32135" w:rsidRPr="008353BF">
          <w:rPr>
            <w:noProof/>
            <w:webHidden/>
            <w:lang w:val="en-AU"/>
          </w:rPr>
          <w:fldChar w:fldCharType="separate"/>
        </w:r>
        <w:r w:rsidR="00A32135" w:rsidRPr="008353BF">
          <w:rPr>
            <w:noProof/>
            <w:webHidden/>
            <w:lang w:val="en-AU"/>
          </w:rPr>
          <w:t>8</w:t>
        </w:r>
        <w:r w:rsidR="00A32135" w:rsidRPr="008353BF">
          <w:rPr>
            <w:noProof/>
            <w:webHidden/>
            <w:lang w:val="en-AU"/>
          </w:rPr>
          <w:fldChar w:fldCharType="end"/>
        </w:r>
      </w:hyperlink>
    </w:p>
    <w:p w14:paraId="5E201317" w14:textId="571C4D8E" w:rsidR="00A32135" w:rsidRPr="008353BF" w:rsidRDefault="00507B83" w:rsidP="00A32135">
      <w:pPr>
        <w:pStyle w:val="TOC2"/>
        <w:tabs>
          <w:tab w:val="left" w:pos="5670"/>
          <w:tab w:val="right" w:pos="9016"/>
        </w:tabs>
        <w:ind w:right="3356"/>
        <w:jc w:val="left"/>
        <w:rPr>
          <w:rFonts w:eastAsiaTheme="minorEastAsia"/>
          <w:noProof/>
          <w:sz w:val="22"/>
          <w:lang w:val="en-AU" w:eastAsia="zh-CN"/>
        </w:rPr>
      </w:pPr>
      <w:hyperlink w:anchor="_Toc54864548" w:history="1">
        <w:r w:rsidR="00A32135" w:rsidRPr="008353BF">
          <w:rPr>
            <w:rStyle w:val="Hyperlink"/>
            <w:noProof/>
            <w:lang w:val="en-AU"/>
          </w:rPr>
          <w:t>Land Capability Assessment</w:t>
        </w:r>
        <w:r w:rsidR="00A32135" w:rsidRPr="008353BF">
          <w:rPr>
            <w:noProof/>
            <w:webHidden/>
            <w:lang w:val="en-AU"/>
          </w:rPr>
          <w:tab/>
        </w:r>
        <w:r w:rsidR="00A32135" w:rsidRPr="008353BF">
          <w:rPr>
            <w:noProof/>
            <w:webHidden/>
            <w:lang w:val="en-AU"/>
          </w:rPr>
          <w:fldChar w:fldCharType="begin"/>
        </w:r>
        <w:r w:rsidR="00A32135" w:rsidRPr="008353BF">
          <w:rPr>
            <w:noProof/>
            <w:webHidden/>
            <w:lang w:val="en-AU"/>
          </w:rPr>
          <w:instrText xml:space="preserve"> PAGEREF _Toc54864548 \h </w:instrText>
        </w:r>
        <w:r w:rsidR="00A32135" w:rsidRPr="008353BF">
          <w:rPr>
            <w:noProof/>
            <w:webHidden/>
            <w:lang w:val="en-AU"/>
          </w:rPr>
        </w:r>
        <w:r w:rsidR="00A32135" w:rsidRPr="008353BF">
          <w:rPr>
            <w:noProof/>
            <w:webHidden/>
            <w:lang w:val="en-AU"/>
          </w:rPr>
          <w:fldChar w:fldCharType="separate"/>
        </w:r>
        <w:r w:rsidR="00A32135" w:rsidRPr="008353BF">
          <w:rPr>
            <w:noProof/>
            <w:webHidden/>
            <w:lang w:val="en-AU"/>
          </w:rPr>
          <w:t>8</w:t>
        </w:r>
        <w:r w:rsidR="00A32135" w:rsidRPr="008353BF">
          <w:rPr>
            <w:noProof/>
            <w:webHidden/>
            <w:lang w:val="en-AU"/>
          </w:rPr>
          <w:fldChar w:fldCharType="end"/>
        </w:r>
      </w:hyperlink>
    </w:p>
    <w:p w14:paraId="0F89542B" w14:textId="4A345838" w:rsidR="00A32135" w:rsidRPr="008353BF" w:rsidRDefault="00507B83" w:rsidP="00A32135">
      <w:pPr>
        <w:pStyle w:val="TOC2"/>
        <w:tabs>
          <w:tab w:val="left" w:pos="5670"/>
          <w:tab w:val="right" w:pos="9016"/>
        </w:tabs>
        <w:ind w:right="3356"/>
        <w:jc w:val="left"/>
        <w:rPr>
          <w:rFonts w:eastAsiaTheme="minorEastAsia"/>
          <w:noProof/>
          <w:sz w:val="22"/>
          <w:lang w:val="en-AU" w:eastAsia="zh-CN"/>
        </w:rPr>
      </w:pPr>
      <w:hyperlink w:anchor="_Toc54864549" w:history="1">
        <w:r w:rsidR="00A32135" w:rsidRPr="008353BF">
          <w:rPr>
            <w:rStyle w:val="Hyperlink"/>
            <w:noProof/>
            <w:lang w:val="en-AU"/>
          </w:rPr>
          <w:t>Whittlesea Food and  Farm Collective</w:t>
        </w:r>
        <w:r w:rsidR="00A32135" w:rsidRPr="008353BF">
          <w:rPr>
            <w:noProof/>
            <w:webHidden/>
            <w:lang w:val="en-AU"/>
          </w:rPr>
          <w:tab/>
        </w:r>
        <w:r w:rsidR="00A32135" w:rsidRPr="008353BF">
          <w:rPr>
            <w:noProof/>
            <w:webHidden/>
            <w:lang w:val="en-AU"/>
          </w:rPr>
          <w:fldChar w:fldCharType="begin"/>
        </w:r>
        <w:r w:rsidR="00A32135" w:rsidRPr="008353BF">
          <w:rPr>
            <w:noProof/>
            <w:webHidden/>
            <w:lang w:val="en-AU"/>
          </w:rPr>
          <w:instrText xml:space="preserve"> PAGEREF _Toc54864549 \h </w:instrText>
        </w:r>
        <w:r w:rsidR="00A32135" w:rsidRPr="008353BF">
          <w:rPr>
            <w:noProof/>
            <w:webHidden/>
            <w:lang w:val="en-AU"/>
          </w:rPr>
        </w:r>
        <w:r w:rsidR="00A32135" w:rsidRPr="008353BF">
          <w:rPr>
            <w:noProof/>
            <w:webHidden/>
            <w:lang w:val="en-AU"/>
          </w:rPr>
          <w:fldChar w:fldCharType="separate"/>
        </w:r>
        <w:r w:rsidR="00A32135" w:rsidRPr="008353BF">
          <w:rPr>
            <w:noProof/>
            <w:webHidden/>
            <w:lang w:val="en-AU"/>
          </w:rPr>
          <w:t>8</w:t>
        </w:r>
        <w:r w:rsidR="00A32135" w:rsidRPr="008353BF">
          <w:rPr>
            <w:noProof/>
            <w:webHidden/>
            <w:lang w:val="en-AU"/>
          </w:rPr>
          <w:fldChar w:fldCharType="end"/>
        </w:r>
      </w:hyperlink>
    </w:p>
    <w:p w14:paraId="226E9DEF" w14:textId="4FED52E3" w:rsidR="00A32135" w:rsidRPr="008353BF" w:rsidRDefault="00507B83" w:rsidP="00A32135">
      <w:pPr>
        <w:pStyle w:val="TOC2"/>
        <w:tabs>
          <w:tab w:val="left" w:pos="5670"/>
          <w:tab w:val="right" w:pos="9016"/>
        </w:tabs>
        <w:ind w:right="3356"/>
        <w:jc w:val="left"/>
        <w:rPr>
          <w:rFonts w:eastAsiaTheme="minorEastAsia"/>
          <w:noProof/>
          <w:sz w:val="22"/>
          <w:lang w:val="en-AU" w:eastAsia="zh-CN"/>
        </w:rPr>
      </w:pPr>
      <w:hyperlink w:anchor="_Toc54864550" w:history="1">
        <w:r w:rsidR="00A32135" w:rsidRPr="008353BF">
          <w:rPr>
            <w:rStyle w:val="Hyperlink"/>
            <w:noProof/>
            <w:lang w:val="en-AU"/>
          </w:rPr>
          <w:t>Regenerative Agriculture and its potential for enhancing climate resilience</w:t>
        </w:r>
        <w:r w:rsidR="00A32135" w:rsidRPr="008353BF">
          <w:rPr>
            <w:noProof/>
            <w:webHidden/>
            <w:lang w:val="en-AU"/>
          </w:rPr>
          <w:tab/>
        </w:r>
        <w:r w:rsidR="00A32135" w:rsidRPr="008353BF">
          <w:rPr>
            <w:noProof/>
            <w:webHidden/>
            <w:lang w:val="en-AU"/>
          </w:rPr>
          <w:fldChar w:fldCharType="begin"/>
        </w:r>
        <w:r w:rsidR="00A32135" w:rsidRPr="008353BF">
          <w:rPr>
            <w:noProof/>
            <w:webHidden/>
            <w:lang w:val="en-AU"/>
          </w:rPr>
          <w:instrText xml:space="preserve"> PAGEREF _Toc54864550 \h </w:instrText>
        </w:r>
        <w:r w:rsidR="00A32135" w:rsidRPr="008353BF">
          <w:rPr>
            <w:noProof/>
            <w:webHidden/>
            <w:lang w:val="en-AU"/>
          </w:rPr>
        </w:r>
        <w:r w:rsidR="00A32135" w:rsidRPr="008353BF">
          <w:rPr>
            <w:noProof/>
            <w:webHidden/>
            <w:lang w:val="en-AU"/>
          </w:rPr>
          <w:fldChar w:fldCharType="separate"/>
        </w:r>
        <w:r w:rsidR="00A32135" w:rsidRPr="008353BF">
          <w:rPr>
            <w:noProof/>
            <w:webHidden/>
            <w:lang w:val="en-AU"/>
          </w:rPr>
          <w:t>9</w:t>
        </w:r>
        <w:r w:rsidR="00A32135" w:rsidRPr="008353BF">
          <w:rPr>
            <w:noProof/>
            <w:webHidden/>
            <w:lang w:val="en-AU"/>
          </w:rPr>
          <w:fldChar w:fldCharType="end"/>
        </w:r>
      </w:hyperlink>
    </w:p>
    <w:p w14:paraId="08ADA907" w14:textId="0B5D6AE0" w:rsidR="00A32135" w:rsidRPr="008353BF" w:rsidRDefault="00507B83" w:rsidP="00A32135">
      <w:pPr>
        <w:pStyle w:val="TOC1"/>
        <w:tabs>
          <w:tab w:val="clear" w:pos="4536"/>
          <w:tab w:val="left" w:pos="5670"/>
        </w:tabs>
        <w:ind w:right="3356"/>
        <w:jc w:val="left"/>
        <w:rPr>
          <w:rFonts w:eastAsiaTheme="minorEastAsia"/>
          <w:sz w:val="28"/>
          <w:lang w:val="en-AU" w:eastAsia="zh-CN"/>
        </w:rPr>
      </w:pPr>
      <w:hyperlink w:anchor="_Toc54864551" w:history="1">
        <w:r w:rsidR="00A32135" w:rsidRPr="008353BF">
          <w:rPr>
            <w:rStyle w:val="Hyperlink"/>
            <w:lang w:val="en-AU"/>
          </w:rPr>
          <w:t>Future opportunities</w:t>
        </w:r>
        <w:r w:rsidR="00A32135" w:rsidRPr="008353BF">
          <w:rPr>
            <w:webHidden/>
            <w:lang w:val="en-AU"/>
          </w:rPr>
          <w:tab/>
        </w:r>
        <w:r w:rsidR="00A32135" w:rsidRPr="008353BF">
          <w:rPr>
            <w:webHidden/>
            <w:lang w:val="en-AU"/>
          </w:rPr>
          <w:fldChar w:fldCharType="begin"/>
        </w:r>
        <w:r w:rsidR="00A32135" w:rsidRPr="008353BF">
          <w:rPr>
            <w:webHidden/>
            <w:lang w:val="en-AU"/>
          </w:rPr>
          <w:instrText xml:space="preserve"> PAGEREF _Toc54864551 \h </w:instrText>
        </w:r>
        <w:r w:rsidR="00A32135" w:rsidRPr="008353BF">
          <w:rPr>
            <w:webHidden/>
            <w:lang w:val="en-AU"/>
          </w:rPr>
        </w:r>
        <w:r w:rsidR="00A32135" w:rsidRPr="008353BF">
          <w:rPr>
            <w:webHidden/>
            <w:lang w:val="en-AU"/>
          </w:rPr>
          <w:fldChar w:fldCharType="separate"/>
        </w:r>
        <w:r w:rsidR="00A32135" w:rsidRPr="008353BF">
          <w:rPr>
            <w:webHidden/>
            <w:lang w:val="en-AU"/>
          </w:rPr>
          <w:t>10</w:t>
        </w:r>
        <w:r w:rsidR="00A32135" w:rsidRPr="008353BF">
          <w:rPr>
            <w:webHidden/>
            <w:lang w:val="en-AU"/>
          </w:rPr>
          <w:fldChar w:fldCharType="end"/>
        </w:r>
      </w:hyperlink>
    </w:p>
    <w:p w14:paraId="39B3EA31" w14:textId="0F66AE58" w:rsidR="003D0AAF" w:rsidRPr="008353BF" w:rsidRDefault="00A32135" w:rsidP="00A32135">
      <w:pPr>
        <w:pStyle w:val="TOC1"/>
        <w:rPr>
          <w:lang w:val="en-AU" w:eastAsia="zh-CN"/>
        </w:rPr>
      </w:pPr>
      <w:r w:rsidRPr="008353BF">
        <w:rPr>
          <w:lang w:val="en-AU" w:eastAsia="zh-CN"/>
        </w:rPr>
        <w:fldChar w:fldCharType="end"/>
      </w:r>
      <w:r w:rsidR="003D0AAF" w:rsidRPr="008353BF">
        <w:rPr>
          <w:lang w:val="en-AU" w:eastAsia="zh-CN"/>
        </w:rPr>
        <w:br w:type="page"/>
      </w:r>
    </w:p>
    <w:p w14:paraId="6B86CF0B" w14:textId="77777777" w:rsidR="00EA3F00" w:rsidRPr="008353BF" w:rsidRDefault="00EA3F00" w:rsidP="003D0AAF">
      <w:pPr>
        <w:pStyle w:val="Heading1"/>
      </w:pPr>
      <w:bookmarkStart w:id="0" w:name="_Toc54864544"/>
      <w:r w:rsidRPr="008353BF">
        <w:lastRenderedPageBreak/>
        <w:t>Agriculture snapshot</w:t>
      </w:r>
      <w:bookmarkEnd w:id="0"/>
    </w:p>
    <w:p w14:paraId="2DC1C651" w14:textId="77777777" w:rsidR="00EA3F00" w:rsidRPr="008353BF" w:rsidRDefault="00EA3F00" w:rsidP="00EA3F00">
      <w:pPr>
        <w:rPr>
          <w:lang w:val="en-AU" w:eastAsia="zh-CN"/>
        </w:rPr>
      </w:pPr>
      <w:r w:rsidRPr="008353BF">
        <w:rPr>
          <w:lang w:val="en-AU" w:eastAsia="zh-CN"/>
        </w:rPr>
        <w:t>Total agriculture gross value (increased output and product value) has increased despite a gradual decline in the total number of businesses and sales over the past five years, which is attributable to common challenges faced within all peri-urban areas.</w:t>
      </w:r>
    </w:p>
    <w:p w14:paraId="7DE1EBDC" w14:textId="77777777" w:rsidR="00EA3F00" w:rsidRPr="008353BF" w:rsidRDefault="00EA3F00" w:rsidP="00EA3F00">
      <w:pPr>
        <w:rPr>
          <w:lang w:val="en-AU" w:eastAsia="zh-CN"/>
        </w:rPr>
      </w:pPr>
      <w:r w:rsidRPr="008353BF">
        <w:rPr>
          <w:lang w:val="en-AU" w:eastAsia="zh-CN"/>
        </w:rPr>
        <w:t>These challenges include:</w:t>
      </w:r>
    </w:p>
    <w:p w14:paraId="5F226057" w14:textId="26C45E2D" w:rsidR="00EA3F00" w:rsidRPr="008353BF" w:rsidRDefault="00EA3F00" w:rsidP="003D0AAF">
      <w:pPr>
        <w:pStyle w:val="ListParagraph"/>
        <w:rPr>
          <w:lang w:val="en-AU"/>
        </w:rPr>
      </w:pPr>
      <w:r w:rsidRPr="008353BF">
        <w:rPr>
          <w:lang w:val="en-AU"/>
        </w:rPr>
        <w:t>Competing land uses;</w:t>
      </w:r>
    </w:p>
    <w:p w14:paraId="44D6C88A" w14:textId="634800C6" w:rsidR="00EA3F00" w:rsidRPr="008353BF" w:rsidRDefault="00EA3F00" w:rsidP="003D0AAF">
      <w:pPr>
        <w:pStyle w:val="ListParagraph"/>
        <w:rPr>
          <w:lang w:val="en-AU"/>
        </w:rPr>
      </w:pPr>
      <w:r w:rsidRPr="008353BF">
        <w:rPr>
          <w:lang w:val="en-AU"/>
        </w:rPr>
        <w:t>Fragmentation of farm land;</w:t>
      </w:r>
    </w:p>
    <w:p w14:paraId="7ED8354A" w14:textId="689A1D6E" w:rsidR="00EA3F00" w:rsidRPr="008353BF" w:rsidRDefault="00EA3F00" w:rsidP="003D0AAF">
      <w:pPr>
        <w:pStyle w:val="ListParagraph"/>
        <w:rPr>
          <w:lang w:val="en-AU"/>
        </w:rPr>
      </w:pPr>
      <w:r w:rsidRPr="008353BF">
        <w:rPr>
          <w:lang w:val="en-AU"/>
        </w:rPr>
        <w:t>Changing demographics and lifestyle of our green wedge residents</w:t>
      </w:r>
    </w:p>
    <w:p w14:paraId="47814BF2" w14:textId="5D567390" w:rsidR="00EA3F00" w:rsidRPr="008353BF" w:rsidRDefault="00EA3F00" w:rsidP="003D0AAF">
      <w:pPr>
        <w:pStyle w:val="ListParagraph"/>
        <w:rPr>
          <w:lang w:val="en-AU"/>
        </w:rPr>
      </w:pPr>
      <w:r w:rsidRPr="008353BF">
        <w:rPr>
          <w:lang w:val="en-AU"/>
        </w:rPr>
        <w:t>Climate change</w:t>
      </w:r>
    </w:p>
    <w:p w14:paraId="464B6AB1" w14:textId="77777777" w:rsidR="00EA3F00" w:rsidRPr="008353BF" w:rsidRDefault="00EA3F00" w:rsidP="00EA3F00">
      <w:pPr>
        <w:rPr>
          <w:lang w:val="en-AU" w:eastAsia="zh-CN"/>
        </w:rPr>
      </w:pPr>
      <w:r w:rsidRPr="008353BF">
        <w:rPr>
          <w:lang w:val="en-AU" w:eastAsia="zh-CN"/>
        </w:rPr>
        <w:t>With these challenges come opportunities:</w:t>
      </w:r>
    </w:p>
    <w:p w14:paraId="5648D1BB" w14:textId="7D1FDA48" w:rsidR="00EA3F00" w:rsidRPr="008353BF" w:rsidRDefault="00EA3F00" w:rsidP="003D0AAF">
      <w:pPr>
        <w:pStyle w:val="ListParagraph"/>
        <w:rPr>
          <w:lang w:val="en-AU"/>
        </w:rPr>
      </w:pPr>
      <w:r w:rsidRPr="008353BF">
        <w:rPr>
          <w:lang w:val="en-AU"/>
        </w:rPr>
        <w:t>Encouragement of small-scale agriculture and sustainable, regenerative farming practices</w:t>
      </w:r>
    </w:p>
    <w:p w14:paraId="7AA21915" w14:textId="640DD764" w:rsidR="00EA3F00" w:rsidRPr="008353BF" w:rsidRDefault="00EA3F00" w:rsidP="003D0AAF">
      <w:pPr>
        <w:pStyle w:val="ListParagraph"/>
        <w:rPr>
          <w:lang w:val="en-AU"/>
        </w:rPr>
      </w:pPr>
      <w:r w:rsidRPr="008353BF">
        <w:rPr>
          <w:lang w:val="en-AU"/>
        </w:rPr>
        <w:t>Increased access to land for all residents wanting</w:t>
      </w:r>
      <w:r w:rsidR="003D0AAF" w:rsidRPr="008353BF">
        <w:rPr>
          <w:lang w:val="en-AU"/>
        </w:rPr>
        <w:t xml:space="preserve"> </w:t>
      </w:r>
      <w:r w:rsidRPr="008353BF">
        <w:rPr>
          <w:lang w:val="en-AU"/>
        </w:rPr>
        <w:t>to farm</w:t>
      </w:r>
    </w:p>
    <w:p w14:paraId="37A929E6" w14:textId="45EBAC06" w:rsidR="00EA3F00" w:rsidRPr="008353BF" w:rsidRDefault="00EA3F00" w:rsidP="003D0AAF">
      <w:pPr>
        <w:pStyle w:val="ListParagraph"/>
        <w:rPr>
          <w:lang w:val="en-AU"/>
        </w:rPr>
      </w:pPr>
      <w:r w:rsidRPr="008353BF">
        <w:rPr>
          <w:lang w:val="en-AU"/>
        </w:rPr>
        <w:t>Increased number of businesses and sales</w:t>
      </w:r>
    </w:p>
    <w:p w14:paraId="6FB92C5A" w14:textId="341EF723" w:rsidR="00EA3F00" w:rsidRPr="008353BF" w:rsidRDefault="00EA3F00" w:rsidP="003D0AAF">
      <w:pPr>
        <w:pStyle w:val="ListParagraph"/>
        <w:rPr>
          <w:lang w:val="en-AU"/>
        </w:rPr>
      </w:pPr>
      <w:r w:rsidRPr="008353BF">
        <w:rPr>
          <w:lang w:val="en-AU"/>
        </w:rPr>
        <w:t>Focus on small volume-high value outputs</w:t>
      </w:r>
    </w:p>
    <w:p w14:paraId="2DE763B2" w14:textId="2E4C6A29" w:rsidR="00EA3F00" w:rsidRPr="008353BF" w:rsidRDefault="00EA3F00" w:rsidP="003D0AAF">
      <w:pPr>
        <w:pStyle w:val="ListParagraph"/>
        <w:rPr>
          <w:lang w:val="en-AU"/>
        </w:rPr>
      </w:pPr>
      <w:r w:rsidRPr="008353BF">
        <w:rPr>
          <w:lang w:val="en-AU"/>
        </w:rPr>
        <w:t>Uptake of technological and data improvements</w:t>
      </w:r>
    </w:p>
    <w:p w14:paraId="20E865D4" w14:textId="1BD3CBAE" w:rsidR="00EA3F00" w:rsidRPr="008353BF" w:rsidRDefault="00EA3F00" w:rsidP="003D0AAF">
      <w:pPr>
        <w:pStyle w:val="ListParagraph"/>
        <w:rPr>
          <w:lang w:val="en-AU"/>
        </w:rPr>
      </w:pPr>
      <w:r w:rsidRPr="008353BF">
        <w:rPr>
          <w:lang w:val="en-AU"/>
        </w:rPr>
        <w:t>Improved production efficiency</w:t>
      </w:r>
    </w:p>
    <w:p w14:paraId="0FC62E18" w14:textId="66F269C7" w:rsidR="00EA3F00" w:rsidRPr="008353BF" w:rsidRDefault="00EA3F00" w:rsidP="003D0AAF">
      <w:pPr>
        <w:pStyle w:val="ListParagraph"/>
        <w:rPr>
          <w:lang w:val="en-AU"/>
        </w:rPr>
      </w:pPr>
      <w:r w:rsidRPr="008353BF">
        <w:rPr>
          <w:lang w:val="en-AU"/>
        </w:rPr>
        <w:t>Creation of an agritourism industry</w:t>
      </w:r>
    </w:p>
    <w:p w14:paraId="07E4770D" w14:textId="12E79FBA" w:rsidR="00EA3F00" w:rsidRPr="008353BF" w:rsidRDefault="00EA3F00" w:rsidP="003D0AAF">
      <w:pPr>
        <w:pStyle w:val="Summary"/>
      </w:pPr>
      <w:r w:rsidRPr="008353BF">
        <w:t xml:space="preserve">Increased the gross value of total agriculture by </w:t>
      </w:r>
      <w:r w:rsidR="003D0AAF" w:rsidRPr="008353BF">
        <w:br/>
      </w:r>
      <w:r w:rsidR="003D0AAF" w:rsidRPr="008353BF">
        <w:rPr>
          <w:sz w:val="48"/>
          <w:szCs w:val="48"/>
        </w:rPr>
        <w:t>$</w:t>
      </w:r>
      <w:r w:rsidRPr="008353BF">
        <w:rPr>
          <w:sz w:val="48"/>
          <w:szCs w:val="48"/>
        </w:rPr>
        <w:t>54m</w:t>
      </w:r>
      <w:r w:rsidR="003D0AAF" w:rsidRPr="008353BF">
        <w:rPr>
          <w:sz w:val="48"/>
          <w:szCs w:val="48"/>
        </w:rPr>
        <w:t xml:space="preserve"> </w:t>
      </w:r>
      <w:r w:rsidR="003D0AAF" w:rsidRPr="008353BF">
        <w:rPr>
          <w:sz w:val="48"/>
          <w:szCs w:val="48"/>
        </w:rPr>
        <w:br/>
      </w:r>
      <w:r w:rsidRPr="008353BF">
        <w:t>from $161.2m in 2016</w:t>
      </w:r>
      <w:r w:rsidR="003D0AAF" w:rsidRPr="008353BF">
        <w:t xml:space="preserve"> </w:t>
      </w:r>
      <w:r w:rsidRPr="008353BF">
        <w:t>to $215.3m in 2018</w:t>
      </w:r>
    </w:p>
    <w:p w14:paraId="59CD2BE2" w14:textId="77777777" w:rsidR="003D0AAF" w:rsidRPr="008353BF" w:rsidRDefault="00EA3F00" w:rsidP="003D0AAF">
      <w:pPr>
        <w:pStyle w:val="Summary"/>
        <w:ind w:right="4207"/>
        <w:contextualSpacing/>
      </w:pPr>
      <w:r w:rsidRPr="008353BF">
        <w:t>Made major contributors to each</w:t>
      </w:r>
      <w:r w:rsidR="003D0AAF" w:rsidRPr="008353BF">
        <w:t xml:space="preserve"> </w:t>
      </w:r>
      <w:r w:rsidRPr="008353BF">
        <w:t>industry below in 2018:</w:t>
      </w:r>
      <w:r w:rsidR="003D0AAF" w:rsidRPr="008353BF">
        <w:t xml:space="preserve"> </w:t>
      </w:r>
    </w:p>
    <w:p w14:paraId="636CDDA9" w14:textId="77777777" w:rsidR="003D0AAF" w:rsidRPr="008353BF" w:rsidRDefault="00EA3F00" w:rsidP="003D0AAF">
      <w:pPr>
        <w:pStyle w:val="Summary"/>
        <w:numPr>
          <w:ilvl w:val="0"/>
          <w:numId w:val="6"/>
        </w:numPr>
        <w:ind w:left="425" w:right="4207" w:hanging="425"/>
        <w:contextualSpacing/>
      </w:pPr>
      <w:r w:rsidRPr="008353BF">
        <w:t>Mushroom production</w:t>
      </w:r>
    </w:p>
    <w:p w14:paraId="05E89DA7" w14:textId="77777777" w:rsidR="003D0AAF" w:rsidRPr="008353BF" w:rsidRDefault="00EA3F00" w:rsidP="003D0AAF">
      <w:pPr>
        <w:pStyle w:val="Summary"/>
        <w:numPr>
          <w:ilvl w:val="0"/>
          <w:numId w:val="6"/>
        </w:numPr>
        <w:ind w:left="425" w:right="4207" w:hanging="425"/>
        <w:contextualSpacing/>
      </w:pPr>
      <w:r w:rsidRPr="008353BF">
        <w:t>Outdoor nurseries</w:t>
      </w:r>
    </w:p>
    <w:p w14:paraId="0678810B" w14:textId="77777777" w:rsidR="003D0AAF" w:rsidRPr="008353BF" w:rsidRDefault="00EA3F00" w:rsidP="003D0AAF">
      <w:pPr>
        <w:pStyle w:val="Summary"/>
        <w:numPr>
          <w:ilvl w:val="0"/>
          <w:numId w:val="6"/>
        </w:numPr>
        <w:ind w:left="425" w:right="4207" w:hanging="425"/>
        <w:contextualSpacing/>
      </w:pPr>
      <w:r w:rsidRPr="008353BF">
        <w:t>Poultry, cattle &amp; calves</w:t>
      </w:r>
    </w:p>
    <w:p w14:paraId="1F58F977" w14:textId="77777777" w:rsidR="003D0AAF" w:rsidRPr="008353BF" w:rsidRDefault="00EA3F00" w:rsidP="003D0AAF">
      <w:pPr>
        <w:pStyle w:val="Summary"/>
        <w:numPr>
          <w:ilvl w:val="0"/>
          <w:numId w:val="6"/>
        </w:numPr>
        <w:ind w:left="425" w:right="4207" w:hanging="425"/>
        <w:contextualSpacing/>
      </w:pPr>
      <w:r w:rsidRPr="008353BF">
        <w:t>Eggs</w:t>
      </w:r>
    </w:p>
    <w:p w14:paraId="0315E444" w14:textId="5CFADF64" w:rsidR="00EA3F00" w:rsidRPr="008353BF" w:rsidRDefault="00EA3F00" w:rsidP="003D0AAF">
      <w:pPr>
        <w:pStyle w:val="Summary"/>
        <w:numPr>
          <w:ilvl w:val="0"/>
          <w:numId w:val="6"/>
        </w:numPr>
        <w:ind w:left="425" w:right="4207" w:hanging="425"/>
        <w:contextualSpacing/>
      </w:pPr>
      <w:r w:rsidRPr="008353BF">
        <w:t>Apples &amp; strawberries</w:t>
      </w:r>
    </w:p>
    <w:p w14:paraId="4A366E32" w14:textId="2562E2E9" w:rsidR="00EA3F00" w:rsidRPr="008353BF" w:rsidRDefault="00EA3F00" w:rsidP="003D0AAF">
      <w:pPr>
        <w:pStyle w:val="Caption"/>
      </w:pPr>
      <w:r w:rsidRPr="008353BF">
        <w:lastRenderedPageBreak/>
        <w:t>INDUSTRY GROSS VALUE</w:t>
      </w:r>
    </w:p>
    <w:p w14:paraId="5DA7C9A7" w14:textId="685C68D3" w:rsidR="00EA3F00" w:rsidRPr="008353BF" w:rsidRDefault="00EA3F00" w:rsidP="00EA3F00">
      <w:pPr>
        <w:rPr>
          <w:lang w:val="en-AU" w:eastAsia="zh-CN"/>
        </w:rPr>
      </w:pPr>
      <w:r w:rsidRPr="008353BF">
        <w:rPr>
          <w:noProof/>
          <w:lang w:val="en-AU" w:eastAsia="zh-CN"/>
        </w:rPr>
        <w:drawing>
          <wp:inline distT="0" distB="0" distL="0" distR="0" wp14:anchorId="020D81A4" wp14:editId="09E3E3E5">
            <wp:extent cx="5731510" cy="5293360"/>
            <wp:effectExtent l="0" t="0" r="2540" b="2540"/>
            <wp:docPr id="5" name="Picture 5" descr="- Vegetables for human consumption are the largest contributor in 2018 and increased from 2016 to 2018&#10;- Nurseries, cut flowers or cultivated turf are the second largest contributors in 2018 and increased substantially from 2016 to 2018&#10;- Livestock slaughtered and other disposal are the third largest contributors in 2018 and remained consistent from 2016 to 2018&#10;- Fruit and nuts (excl grapes) are the fourth largest contributor in 2018 and remained consistent from 2016 to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5293360"/>
                    </a:xfrm>
                    <a:prstGeom prst="rect">
                      <a:avLst/>
                    </a:prstGeom>
                    <a:noFill/>
                    <a:ln>
                      <a:noFill/>
                    </a:ln>
                  </pic:spPr>
                </pic:pic>
              </a:graphicData>
            </a:graphic>
          </wp:inline>
        </w:drawing>
      </w:r>
    </w:p>
    <w:p w14:paraId="3C2E4F54" w14:textId="6245C914" w:rsidR="00EA3F00" w:rsidRPr="008353BF" w:rsidRDefault="00EA3F00" w:rsidP="00EA3F00">
      <w:pPr>
        <w:rPr>
          <w:lang w:val="en-AU" w:eastAsia="zh-CN"/>
        </w:rPr>
      </w:pPr>
      <w:r w:rsidRPr="008353BF">
        <w:rPr>
          <w:lang w:val="en-AU" w:eastAsia="zh-CN"/>
        </w:rPr>
        <w:t>The City of Whittlesea forms part of the Statistical Analysis 4 region, which includes the Shire of Nillumbik, City of Banyule, part of the City of Darebin, part of the Shire of Mitchell and part of the Shire of Murrundindi.</w:t>
      </w:r>
    </w:p>
    <w:p w14:paraId="5276155E" w14:textId="77E57BA4" w:rsidR="00EA3F00" w:rsidRPr="008353BF" w:rsidRDefault="00EA3F00" w:rsidP="003D0AAF">
      <w:pPr>
        <w:pStyle w:val="Heading1"/>
      </w:pPr>
      <w:bookmarkStart w:id="1" w:name="_Toc54864545"/>
      <w:r w:rsidRPr="008353BF">
        <w:lastRenderedPageBreak/>
        <w:t>Whittlesea’s</w:t>
      </w:r>
      <w:r w:rsidR="003D0AAF" w:rsidRPr="008353BF">
        <w:t xml:space="preserve"> </w:t>
      </w:r>
      <w:r w:rsidRPr="008353BF">
        <w:t>competitive advantage</w:t>
      </w:r>
      <w:bookmarkEnd w:id="1"/>
    </w:p>
    <w:p w14:paraId="198B3F17" w14:textId="0BDFFAE9" w:rsidR="00EA3F00" w:rsidRPr="008353BF" w:rsidRDefault="00EA3F00" w:rsidP="003D0AAF">
      <w:pPr>
        <w:rPr>
          <w:lang w:val="en-AU" w:eastAsia="zh-CN"/>
        </w:rPr>
      </w:pPr>
      <w:r w:rsidRPr="008353BF">
        <w:rPr>
          <w:lang w:val="en-AU" w:eastAsia="zh-CN"/>
        </w:rPr>
        <w:t>Doing agribusiness in the City of Whittlesea</w:t>
      </w:r>
      <w:r w:rsidR="003D0AAF" w:rsidRPr="008353BF">
        <w:rPr>
          <w:lang w:val="en-AU" w:eastAsia="zh-CN"/>
        </w:rPr>
        <w:t xml:space="preserve"> </w:t>
      </w:r>
      <w:r w:rsidRPr="008353BF">
        <w:rPr>
          <w:lang w:val="en-AU" w:eastAsia="zh-CN"/>
        </w:rPr>
        <w:t>has a number of economic and lifestyle</w:t>
      </w:r>
      <w:r w:rsidR="003D0AAF" w:rsidRPr="008353BF">
        <w:rPr>
          <w:lang w:val="en-AU" w:eastAsia="zh-CN"/>
        </w:rPr>
        <w:t xml:space="preserve"> </w:t>
      </w:r>
      <w:r w:rsidRPr="008353BF">
        <w:rPr>
          <w:lang w:val="en-AU" w:eastAsia="zh-CN"/>
        </w:rPr>
        <w:t>advantages.</w:t>
      </w:r>
    </w:p>
    <w:p w14:paraId="0E00204A" w14:textId="09874610" w:rsidR="00EA3F00" w:rsidRPr="008353BF" w:rsidRDefault="00EA3F00" w:rsidP="003D0AAF">
      <w:pPr>
        <w:pStyle w:val="ListParagraph"/>
        <w:rPr>
          <w:lang w:val="en-AU"/>
        </w:rPr>
      </w:pPr>
      <w:r w:rsidRPr="008353BF">
        <w:rPr>
          <w:lang w:val="en-AU"/>
        </w:rPr>
        <w:t>Productive and viable farming land on our urban fringe</w:t>
      </w:r>
    </w:p>
    <w:p w14:paraId="6EF0DF39" w14:textId="442D7106" w:rsidR="00EA3F00" w:rsidRPr="008353BF" w:rsidRDefault="00EA3F00" w:rsidP="003D0AAF">
      <w:pPr>
        <w:pStyle w:val="ListParagraph"/>
        <w:rPr>
          <w:lang w:val="en-AU"/>
        </w:rPr>
      </w:pPr>
      <w:r w:rsidRPr="008353BF">
        <w:rPr>
          <w:lang w:val="en-AU"/>
        </w:rPr>
        <w:t>Proximity and access to major regional transport</w:t>
      </w:r>
      <w:r w:rsidR="003D0AAF" w:rsidRPr="008353BF">
        <w:rPr>
          <w:lang w:val="en-AU"/>
        </w:rPr>
        <w:t xml:space="preserve"> </w:t>
      </w:r>
      <w:r w:rsidRPr="008353BF">
        <w:rPr>
          <w:lang w:val="en-AU"/>
        </w:rPr>
        <w:t>and infrastructure, educational institutions and the</w:t>
      </w:r>
      <w:r w:rsidR="003D0AAF" w:rsidRPr="008353BF">
        <w:rPr>
          <w:lang w:val="en-AU"/>
        </w:rPr>
        <w:t xml:space="preserve"> </w:t>
      </w:r>
      <w:r w:rsidRPr="008353BF">
        <w:rPr>
          <w:lang w:val="en-AU"/>
        </w:rPr>
        <w:t>Melbourne Wholesale Fruit and Vegetable Market</w:t>
      </w:r>
    </w:p>
    <w:p w14:paraId="74B13BDB" w14:textId="5E6A562F" w:rsidR="00EA3F00" w:rsidRPr="008353BF" w:rsidRDefault="00EA3F00" w:rsidP="003D0AAF">
      <w:pPr>
        <w:pStyle w:val="ListParagraph"/>
        <w:rPr>
          <w:lang w:val="en-AU"/>
        </w:rPr>
      </w:pPr>
      <w:r w:rsidRPr="008353BF">
        <w:rPr>
          <w:lang w:val="en-AU"/>
        </w:rPr>
        <w:t>On the doorstep to Melbourne Polytechnic’s ‘paddock</w:t>
      </w:r>
      <w:r w:rsidR="003D0AAF" w:rsidRPr="008353BF">
        <w:rPr>
          <w:lang w:val="en-AU"/>
        </w:rPr>
        <w:t xml:space="preserve"> </w:t>
      </w:r>
      <w:r w:rsidRPr="008353BF">
        <w:rPr>
          <w:lang w:val="en-AU"/>
        </w:rPr>
        <w:t>to plate’ vocational education</w:t>
      </w:r>
    </w:p>
    <w:p w14:paraId="4E522F27" w14:textId="32F25489" w:rsidR="00EA3F00" w:rsidRPr="008353BF" w:rsidRDefault="00EA3F00" w:rsidP="003D0AAF">
      <w:pPr>
        <w:pStyle w:val="ListParagraph"/>
        <w:rPr>
          <w:lang w:val="en-AU"/>
        </w:rPr>
      </w:pPr>
      <w:r w:rsidRPr="008353BF">
        <w:rPr>
          <w:lang w:val="en-AU"/>
        </w:rPr>
        <w:t>Access to local buyers and Victoria’s premier food hub</w:t>
      </w:r>
    </w:p>
    <w:p w14:paraId="41E7C8E7" w14:textId="7A7776F1" w:rsidR="00EA3F00" w:rsidRPr="008353BF" w:rsidRDefault="00EA3F00" w:rsidP="003D0AAF">
      <w:pPr>
        <w:pStyle w:val="ListParagraph"/>
        <w:rPr>
          <w:lang w:val="en-AU"/>
        </w:rPr>
      </w:pPr>
      <w:r w:rsidRPr="008353BF">
        <w:rPr>
          <w:lang w:val="en-AU"/>
        </w:rPr>
        <w:t>Dedicated agribusiness support</w:t>
      </w:r>
    </w:p>
    <w:p w14:paraId="1E0C37C3" w14:textId="295B96E5" w:rsidR="00EA3F00" w:rsidRPr="008353BF" w:rsidRDefault="00EA3F00" w:rsidP="003D0AAF">
      <w:pPr>
        <w:pStyle w:val="ListParagraph"/>
        <w:rPr>
          <w:lang w:val="en-AU"/>
        </w:rPr>
      </w:pPr>
      <w:r w:rsidRPr="008353BF">
        <w:rPr>
          <w:lang w:val="en-AU"/>
        </w:rPr>
        <w:t>Council commitment to protect and encourage</w:t>
      </w:r>
      <w:r w:rsidR="003D0AAF" w:rsidRPr="008353BF">
        <w:rPr>
          <w:lang w:val="en-AU"/>
        </w:rPr>
        <w:t xml:space="preserve"> </w:t>
      </w:r>
      <w:r w:rsidRPr="008353BF">
        <w:rPr>
          <w:lang w:val="en-AU"/>
        </w:rPr>
        <w:t>agricultural land use</w:t>
      </w:r>
    </w:p>
    <w:p w14:paraId="55C3EF42" w14:textId="7A0EA289" w:rsidR="00EA3F00" w:rsidRPr="008353BF" w:rsidRDefault="00EA3F00" w:rsidP="003D0AAF">
      <w:pPr>
        <w:pStyle w:val="ListParagraph"/>
        <w:rPr>
          <w:lang w:val="en-AU"/>
        </w:rPr>
      </w:pPr>
      <w:r w:rsidRPr="008353BF">
        <w:rPr>
          <w:lang w:val="en-AU"/>
        </w:rPr>
        <w:t>Availability of recycled water</w:t>
      </w:r>
    </w:p>
    <w:p w14:paraId="58BE9263" w14:textId="6FE6519F" w:rsidR="00EA3F00" w:rsidRPr="008353BF" w:rsidRDefault="00EA3F00" w:rsidP="003D0AAF">
      <w:pPr>
        <w:pStyle w:val="ListParagraph"/>
        <w:rPr>
          <w:lang w:val="en-AU"/>
        </w:rPr>
      </w:pPr>
      <w:r w:rsidRPr="008353BF">
        <w:rPr>
          <w:lang w:val="en-AU"/>
        </w:rPr>
        <w:t>Access to local Farmers Markets</w:t>
      </w:r>
    </w:p>
    <w:p w14:paraId="2A3FF688" w14:textId="3FC9E09E" w:rsidR="00EA3F00" w:rsidRPr="008353BF" w:rsidRDefault="00EA3F00" w:rsidP="003D0AAF">
      <w:pPr>
        <w:pStyle w:val="ListParagraph"/>
        <w:rPr>
          <w:lang w:val="en-AU"/>
        </w:rPr>
      </w:pPr>
      <w:r w:rsidRPr="008353BF">
        <w:rPr>
          <w:lang w:val="en-AU"/>
        </w:rPr>
        <w:t>Access to a skilled workforce</w:t>
      </w:r>
    </w:p>
    <w:p w14:paraId="0B88AB45" w14:textId="23FDD88F" w:rsidR="001A2B8D" w:rsidRPr="008353BF" w:rsidRDefault="00EA3F00" w:rsidP="003D0AAF">
      <w:pPr>
        <w:pStyle w:val="Caption"/>
      </w:pPr>
      <w:r w:rsidRPr="008353BF">
        <w:t>MAJOR LOCAL AGRIBUSINESSES</w:t>
      </w:r>
      <w:r w:rsidR="003D0AAF" w:rsidRPr="008353BF">
        <w:t xml:space="preserve"> </w:t>
      </w:r>
      <w:r w:rsidRPr="008353BF">
        <w:t>AND PRODUCERS</w:t>
      </w:r>
    </w:p>
    <w:p w14:paraId="79CD1B7F" w14:textId="68CC474D" w:rsidR="00EA3F00" w:rsidRPr="008353BF" w:rsidRDefault="00EA3F00" w:rsidP="003D0AAF">
      <w:pPr>
        <w:jc w:val="center"/>
        <w:rPr>
          <w:szCs w:val="24"/>
          <w:lang w:val="en-AU" w:eastAsia="zh-CN"/>
        </w:rPr>
      </w:pPr>
      <w:r w:rsidRPr="008353BF">
        <w:rPr>
          <w:noProof/>
          <w:szCs w:val="24"/>
          <w:lang w:val="en-AU" w:eastAsia="zh-CN"/>
        </w:rPr>
        <w:drawing>
          <wp:inline distT="0" distB="0" distL="0" distR="0" wp14:anchorId="643E71C8" wp14:editId="580901C1">
            <wp:extent cx="2113565" cy="4143375"/>
            <wp:effectExtent l="0" t="0" r="1270" b="0"/>
            <wp:docPr id="6" name="Picture 6" descr="Logos of Cloverly Pastoral, Costa (well grown), Glen Coulburn (Poll Hereford Stud), Just Picked, Kapiris Brothers, The Melbourne Pear Company, Melbourne Market, Merri Meats, Select Harvests, and Top Hundred Acr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21695" cy="4159313"/>
                    </a:xfrm>
                    <a:prstGeom prst="rect">
                      <a:avLst/>
                    </a:prstGeom>
                    <a:noFill/>
                    <a:ln>
                      <a:noFill/>
                    </a:ln>
                  </pic:spPr>
                </pic:pic>
              </a:graphicData>
            </a:graphic>
          </wp:inline>
        </w:drawing>
      </w:r>
    </w:p>
    <w:p w14:paraId="7FD8510D" w14:textId="599EBCD3" w:rsidR="00EA3F00" w:rsidRPr="008353BF" w:rsidRDefault="00EA3F00" w:rsidP="00EA3F00">
      <w:pPr>
        <w:rPr>
          <w:szCs w:val="24"/>
          <w:lang w:val="en-AU" w:eastAsia="zh-CN"/>
        </w:rPr>
      </w:pPr>
      <w:r w:rsidRPr="008353BF">
        <w:rPr>
          <w:noProof/>
          <w:szCs w:val="24"/>
          <w:lang w:val="en-AU" w:eastAsia="zh-CN"/>
        </w:rPr>
        <w:lastRenderedPageBreak/>
        <w:drawing>
          <wp:inline distT="0" distB="0" distL="0" distR="0" wp14:anchorId="1911BBFC" wp14:editId="319B6E9B">
            <wp:extent cx="5724525" cy="5867400"/>
            <wp:effectExtent l="0" t="0" r="9525" b="0"/>
            <wp:docPr id="7" name="Picture 7" descr="Map showing the location of the green wedge in the City of Whittlesea in relation to key locations such as the Melbourne Markets, Melbourne CBD, Melbourne Airport, Hume Freeway, Beveridge Intermodal Freight Transport hub, Whittlesea township, Yarra Valley Water Treatment Plants, Sydney-Melbourne train line and the proposed 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24525" cy="5867400"/>
                    </a:xfrm>
                    <a:prstGeom prst="rect">
                      <a:avLst/>
                    </a:prstGeom>
                    <a:noFill/>
                    <a:ln>
                      <a:noFill/>
                    </a:ln>
                  </pic:spPr>
                </pic:pic>
              </a:graphicData>
            </a:graphic>
          </wp:inline>
        </w:drawing>
      </w:r>
    </w:p>
    <w:p w14:paraId="39BED713" w14:textId="0DAD89D9" w:rsidR="00EA3F00" w:rsidRPr="008353BF" w:rsidRDefault="00EA3F00" w:rsidP="003D0AAF">
      <w:pPr>
        <w:pStyle w:val="Heading1"/>
      </w:pPr>
      <w:bookmarkStart w:id="2" w:name="_Toc54864546"/>
      <w:r w:rsidRPr="008353BF">
        <w:lastRenderedPageBreak/>
        <w:t>Major Initiatives</w:t>
      </w:r>
      <w:bookmarkEnd w:id="2"/>
    </w:p>
    <w:p w14:paraId="0C0B9129" w14:textId="39D759EC" w:rsidR="00EA3F00" w:rsidRPr="008353BF" w:rsidRDefault="00EA3F00" w:rsidP="003D0AAF">
      <w:pPr>
        <w:rPr>
          <w:szCs w:val="24"/>
          <w:lang w:val="en-AU" w:eastAsia="zh-CN"/>
        </w:rPr>
      </w:pPr>
      <w:r w:rsidRPr="008353BF">
        <w:rPr>
          <w:szCs w:val="24"/>
          <w:lang w:val="en-AU" w:eastAsia="zh-CN"/>
        </w:rPr>
        <w:t>We are committed to</w:t>
      </w:r>
      <w:r w:rsidR="003D0AAF" w:rsidRPr="008353BF">
        <w:rPr>
          <w:szCs w:val="24"/>
          <w:lang w:val="en-AU" w:eastAsia="zh-CN"/>
        </w:rPr>
        <w:t xml:space="preserve"> </w:t>
      </w:r>
      <w:r w:rsidRPr="008353BF">
        <w:rPr>
          <w:szCs w:val="24"/>
          <w:lang w:val="en-AU" w:eastAsia="zh-CN"/>
        </w:rPr>
        <w:t>assisting our current and</w:t>
      </w:r>
      <w:r w:rsidR="003D0AAF" w:rsidRPr="008353BF">
        <w:rPr>
          <w:szCs w:val="24"/>
          <w:lang w:val="en-AU" w:eastAsia="zh-CN"/>
        </w:rPr>
        <w:t xml:space="preserve"> </w:t>
      </w:r>
      <w:r w:rsidRPr="008353BF">
        <w:rPr>
          <w:szCs w:val="24"/>
          <w:lang w:val="en-AU" w:eastAsia="zh-CN"/>
        </w:rPr>
        <w:t>future agribusinesses</w:t>
      </w:r>
      <w:r w:rsidR="003D0AAF" w:rsidRPr="008353BF">
        <w:rPr>
          <w:szCs w:val="24"/>
          <w:lang w:val="en-AU" w:eastAsia="zh-CN"/>
        </w:rPr>
        <w:t xml:space="preserve"> </w:t>
      </w:r>
      <w:r w:rsidRPr="008353BF">
        <w:rPr>
          <w:szCs w:val="24"/>
          <w:lang w:val="en-AU" w:eastAsia="zh-CN"/>
        </w:rPr>
        <w:t>become more innovative</w:t>
      </w:r>
      <w:r w:rsidR="003D0AAF" w:rsidRPr="008353BF">
        <w:rPr>
          <w:szCs w:val="24"/>
          <w:lang w:val="en-AU" w:eastAsia="zh-CN"/>
        </w:rPr>
        <w:t xml:space="preserve"> </w:t>
      </w:r>
      <w:r w:rsidRPr="008353BF">
        <w:rPr>
          <w:szCs w:val="24"/>
          <w:lang w:val="en-AU" w:eastAsia="zh-CN"/>
        </w:rPr>
        <w:t>and sustainable in</w:t>
      </w:r>
      <w:r w:rsidR="003D0AAF" w:rsidRPr="008353BF">
        <w:rPr>
          <w:szCs w:val="24"/>
          <w:lang w:val="en-AU" w:eastAsia="zh-CN"/>
        </w:rPr>
        <w:t xml:space="preserve"> </w:t>
      </w:r>
      <w:r w:rsidRPr="008353BF">
        <w:rPr>
          <w:szCs w:val="24"/>
          <w:lang w:val="en-AU" w:eastAsia="zh-CN"/>
        </w:rPr>
        <w:t>consistently changing</w:t>
      </w:r>
      <w:r w:rsidR="003D0AAF" w:rsidRPr="008353BF">
        <w:rPr>
          <w:szCs w:val="24"/>
          <w:lang w:val="en-AU" w:eastAsia="zh-CN"/>
        </w:rPr>
        <w:t xml:space="preserve"> </w:t>
      </w:r>
      <w:r w:rsidRPr="008353BF">
        <w:rPr>
          <w:szCs w:val="24"/>
          <w:lang w:val="en-AU" w:eastAsia="zh-CN"/>
        </w:rPr>
        <w:t>economic and climatic</w:t>
      </w:r>
      <w:r w:rsidR="003D0AAF" w:rsidRPr="008353BF">
        <w:rPr>
          <w:szCs w:val="24"/>
          <w:lang w:val="en-AU" w:eastAsia="zh-CN"/>
        </w:rPr>
        <w:t xml:space="preserve"> </w:t>
      </w:r>
      <w:r w:rsidRPr="008353BF">
        <w:rPr>
          <w:szCs w:val="24"/>
          <w:lang w:val="en-AU" w:eastAsia="zh-CN"/>
        </w:rPr>
        <w:t>environments.</w:t>
      </w:r>
    </w:p>
    <w:p w14:paraId="6D364763" w14:textId="0BFAB87F" w:rsidR="00EA3F00" w:rsidRPr="008353BF" w:rsidRDefault="00EA3F00" w:rsidP="003D0AAF">
      <w:pPr>
        <w:pStyle w:val="Heading2"/>
      </w:pPr>
      <w:bookmarkStart w:id="3" w:name="_Toc54864547"/>
      <w:r w:rsidRPr="008353BF">
        <w:t>State Government</w:t>
      </w:r>
      <w:r w:rsidR="003D0AAF" w:rsidRPr="008353BF">
        <w:t xml:space="preserve"> </w:t>
      </w:r>
      <w:r w:rsidRPr="008353BF">
        <w:t>Advocacy</w:t>
      </w:r>
      <w:bookmarkEnd w:id="3"/>
    </w:p>
    <w:p w14:paraId="0244906C" w14:textId="1BBA0DAE" w:rsidR="00EA3F00" w:rsidRPr="008353BF" w:rsidRDefault="00EA3F00" w:rsidP="003D0AAF">
      <w:pPr>
        <w:rPr>
          <w:szCs w:val="24"/>
          <w:lang w:val="en-AU" w:eastAsia="zh-CN"/>
        </w:rPr>
      </w:pPr>
      <w:r w:rsidRPr="008353BF">
        <w:rPr>
          <w:szCs w:val="24"/>
          <w:lang w:val="en-AU" w:eastAsia="zh-CN"/>
        </w:rPr>
        <w:t>The City of Whittlesea is dedicated</w:t>
      </w:r>
      <w:r w:rsidR="003D0AAF" w:rsidRPr="008353BF">
        <w:rPr>
          <w:szCs w:val="24"/>
          <w:lang w:val="en-AU" w:eastAsia="zh-CN"/>
        </w:rPr>
        <w:t xml:space="preserve"> </w:t>
      </w:r>
      <w:r w:rsidRPr="008353BF">
        <w:rPr>
          <w:szCs w:val="24"/>
          <w:lang w:val="en-AU" w:eastAsia="zh-CN"/>
        </w:rPr>
        <w:t>to the protection of farmland in the</w:t>
      </w:r>
      <w:r w:rsidR="003D0AAF" w:rsidRPr="008353BF">
        <w:rPr>
          <w:szCs w:val="24"/>
          <w:lang w:val="en-AU" w:eastAsia="zh-CN"/>
        </w:rPr>
        <w:t xml:space="preserve"> </w:t>
      </w:r>
      <w:r w:rsidRPr="008353BF">
        <w:rPr>
          <w:szCs w:val="24"/>
          <w:lang w:val="en-AU" w:eastAsia="zh-CN"/>
        </w:rPr>
        <w:t>Green Wedge through its advocacy</w:t>
      </w:r>
      <w:r w:rsidR="003D0AAF" w:rsidRPr="008353BF">
        <w:rPr>
          <w:szCs w:val="24"/>
          <w:lang w:val="en-AU" w:eastAsia="zh-CN"/>
        </w:rPr>
        <w:t xml:space="preserve"> </w:t>
      </w:r>
      <w:r w:rsidRPr="008353BF">
        <w:rPr>
          <w:szCs w:val="24"/>
          <w:lang w:val="en-AU" w:eastAsia="zh-CN"/>
        </w:rPr>
        <w:t>to the State Government on</w:t>
      </w:r>
      <w:r w:rsidR="003D0AAF" w:rsidRPr="008353BF">
        <w:rPr>
          <w:szCs w:val="24"/>
          <w:lang w:val="en-AU" w:eastAsia="zh-CN"/>
        </w:rPr>
        <w:t xml:space="preserve"> </w:t>
      </w:r>
      <w:r w:rsidRPr="008353BF">
        <w:rPr>
          <w:szCs w:val="24"/>
          <w:lang w:val="en-AU" w:eastAsia="zh-CN"/>
        </w:rPr>
        <w:t>strengthening the Urban Growth</w:t>
      </w:r>
      <w:r w:rsidR="003D0AAF" w:rsidRPr="008353BF">
        <w:rPr>
          <w:szCs w:val="24"/>
          <w:lang w:val="en-AU" w:eastAsia="zh-CN"/>
        </w:rPr>
        <w:t xml:space="preserve"> </w:t>
      </w:r>
      <w:r w:rsidRPr="008353BF">
        <w:rPr>
          <w:szCs w:val="24"/>
          <w:lang w:val="en-AU" w:eastAsia="zh-CN"/>
        </w:rPr>
        <w:t>Boundary and planning policies.</w:t>
      </w:r>
    </w:p>
    <w:p w14:paraId="302F8BBB" w14:textId="6316F27A" w:rsidR="00EA3F00" w:rsidRPr="008353BF" w:rsidRDefault="00EA3F00" w:rsidP="003D0AAF">
      <w:pPr>
        <w:rPr>
          <w:szCs w:val="24"/>
          <w:lang w:val="en-AU" w:eastAsia="zh-CN"/>
        </w:rPr>
      </w:pPr>
      <w:r w:rsidRPr="008353BF">
        <w:rPr>
          <w:szCs w:val="24"/>
          <w:lang w:val="en-AU" w:eastAsia="zh-CN"/>
        </w:rPr>
        <w:t>Strengthening the Urban Growth</w:t>
      </w:r>
      <w:r w:rsidR="003D0AAF" w:rsidRPr="008353BF">
        <w:rPr>
          <w:szCs w:val="24"/>
          <w:lang w:val="en-AU" w:eastAsia="zh-CN"/>
        </w:rPr>
        <w:t xml:space="preserve"> </w:t>
      </w:r>
      <w:r w:rsidRPr="008353BF">
        <w:rPr>
          <w:szCs w:val="24"/>
          <w:lang w:val="en-AU" w:eastAsia="zh-CN"/>
        </w:rPr>
        <w:t>Boundary improves land</w:t>
      </w:r>
      <w:r w:rsidR="003D0AAF" w:rsidRPr="008353BF">
        <w:rPr>
          <w:szCs w:val="24"/>
          <w:lang w:val="en-AU" w:eastAsia="zh-CN"/>
        </w:rPr>
        <w:t xml:space="preserve"> </w:t>
      </w:r>
      <w:r w:rsidRPr="008353BF">
        <w:rPr>
          <w:szCs w:val="24"/>
          <w:lang w:val="en-AU" w:eastAsia="zh-CN"/>
        </w:rPr>
        <w:t>accessibility for future farming</w:t>
      </w:r>
      <w:r w:rsidR="003D0AAF" w:rsidRPr="008353BF">
        <w:rPr>
          <w:szCs w:val="24"/>
          <w:lang w:val="en-AU" w:eastAsia="zh-CN"/>
        </w:rPr>
        <w:t xml:space="preserve"> </w:t>
      </w:r>
      <w:r w:rsidRPr="008353BF">
        <w:rPr>
          <w:szCs w:val="24"/>
          <w:lang w:val="en-AU" w:eastAsia="zh-CN"/>
        </w:rPr>
        <w:t>generations by reducing land</w:t>
      </w:r>
      <w:r w:rsidR="003D0AAF" w:rsidRPr="008353BF">
        <w:rPr>
          <w:szCs w:val="24"/>
          <w:lang w:val="en-AU" w:eastAsia="zh-CN"/>
        </w:rPr>
        <w:t xml:space="preserve"> </w:t>
      </w:r>
      <w:r w:rsidRPr="008353BF">
        <w:rPr>
          <w:szCs w:val="24"/>
          <w:lang w:val="en-AU" w:eastAsia="zh-CN"/>
        </w:rPr>
        <w:t>speculation and competition for</w:t>
      </w:r>
      <w:r w:rsidR="003D0AAF" w:rsidRPr="008353BF">
        <w:rPr>
          <w:szCs w:val="24"/>
          <w:lang w:val="en-AU" w:eastAsia="zh-CN"/>
        </w:rPr>
        <w:t xml:space="preserve"> </w:t>
      </w:r>
      <w:r w:rsidRPr="008353BF">
        <w:rPr>
          <w:szCs w:val="24"/>
          <w:lang w:val="en-AU" w:eastAsia="zh-CN"/>
        </w:rPr>
        <w:t>viable farming land. It will also</w:t>
      </w:r>
      <w:r w:rsidR="003D0AAF" w:rsidRPr="008353BF">
        <w:rPr>
          <w:szCs w:val="24"/>
          <w:lang w:val="en-AU" w:eastAsia="zh-CN"/>
        </w:rPr>
        <w:t xml:space="preserve"> </w:t>
      </w:r>
      <w:r w:rsidRPr="008353BF">
        <w:rPr>
          <w:szCs w:val="24"/>
          <w:lang w:val="en-AU" w:eastAsia="zh-CN"/>
        </w:rPr>
        <w:t>promote agricultural use on land</w:t>
      </w:r>
      <w:r w:rsidR="003D0AAF" w:rsidRPr="008353BF">
        <w:rPr>
          <w:szCs w:val="24"/>
          <w:lang w:val="en-AU" w:eastAsia="zh-CN"/>
        </w:rPr>
        <w:t xml:space="preserve"> </w:t>
      </w:r>
      <w:r w:rsidRPr="008353BF">
        <w:rPr>
          <w:szCs w:val="24"/>
          <w:lang w:val="en-AU" w:eastAsia="zh-CN"/>
        </w:rPr>
        <w:t>previously left vacant in anticipation</w:t>
      </w:r>
      <w:r w:rsidR="003D0AAF" w:rsidRPr="008353BF">
        <w:rPr>
          <w:szCs w:val="24"/>
          <w:lang w:val="en-AU" w:eastAsia="zh-CN"/>
        </w:rPr>
        <w:t xml:space="preserve"> </w:t>
      </w:r>
      <w:r w:rsidRPr="008353BF">
        <w:rPr>
          <w:szCs w:val="24"/>
          <w:lang w:val="en-AU" w:eastAsia="zh-CN"/>
        </w:rPr>
        <w:t>of development opportunities.</w:t>
      </w:r>
    </w:p>
    <w:p w14:paraId="1ED5323C" w14:textId="616D46C7" w:rsidR="00EA3F00" w:rsidRPr="008353BF" w:rsidRDefault="00EA3F00" w:rsidP="003D0AAF">
      <w:pPr>
        <w:rPr>
          <w:szCs w:val="24"/>
          <w:lang w:val="en-AU" w:eastAsia="zh-CN"/>
        </w:rPr>
      </w:pPr>
      <w:r w:rsidRPr="008353BF">
        <w:rPr>
          <w:szCs w:val="24"/>
          <w:lang w:val="en-AU" w:eastAsia="zh-CN"/>
        </w:rPr>
        <w:t>Planning policies which support</w:t>
      </w:r>
      <w:r w:rsidR="003D0AAF" w:rsidRPr="008353BF">
        <w:rPr>
          <w:szCs w:val="24"/>
          <w:lang w:val="en-AU" w:eastAsia="zh-CN"/>
        </w:rPr>
        <w:t xml:space="preserve"> </w:t>
      </w:r>
      <w:r w:rsidRPr="008353BF">
        <w:rPr>
          <w:szCs w:val="24"/>
          <w:lang w:val="en-AU" w:eastAsia="zh-CN"/>
        </w:rPr>
        <w:t>and encourage farming provide</w:t>
      </w:r>
      <w:r w:rsidR="003D0AAF" w:rsidRPr="008353BF">
        <w:rPr>
          <w:szCs w:val="24"/>
          <w:lang w:val="en-AU" w:eastAsia="zh-CN"/>
        </w:rPr>
        <w:t xml:space="preserve"> </w:t>
      </w:r>
      <w:r w:rsidRPr="008353BF">
        <w:rPr>
          <w:szCs w:val="24"/>
          <w:lang w:val="en-AU" w:eastAsia="zh-CN"/>
        </w:rPr>
        <w:t>farmers and agribusinesses with</w:t>
      </w:r>
      <w:r w:rsidR="003D0AAF" w:rsidRPr="008353BF">
        <w:rPr>
          <w:szCs w:val="24"/>
          <w:lang w:val="en-AU" w:eastAsia="zh-CN"/>
        </w:rPr>
        <w:t xml:space="preserve"> </w:t>
      </w:r>
      <w:r w:rsidRPr="008353BF">
        <w:rPr>
          <w:szCs w:val="24"/>
          <w:lang w:val="en-AU" w:eastAsia="zh-CN"/>
        </w:rPr>
        <w:t>confidence that they will be able to</w:t>
      </w:r>
      <w:r w:rsidR="003D0AAF" w:rsidRPr="008353BF">
        <w:rPr>
          <w:szCs w:val="24"/>
          <w:lang w:val="en-AU" w:eastAsia="zh-CN"/>
        </w:rPr>
        <w:t xml:space="preserve"> </w:t>
      </w:r>
      <w:r w:rsidRPr="008353BF">
        <w:rPr>
          <w:szCs w:val="24"/>
          <w:lang w:val="en-AU" w:eastAsia="zh-CN"/>
        </w:rPr>
        <w:t>continue operating into the future</w:t>
      </w:r>
      <w:r w:rsidR="003D0AAF" w:rsidRPr="008353BF">
        <w:rPr>
          <w:szCs w:val="24"/>
          <w:lang w:val="en-AU" w:eastAsia="zh-CN"/>
        </w:rPr>
        <w:t xml:space="preserve"> </w:t>
      </w:r>
      <w:r w:rsidRPr="008353BF">
        <w:rPr>
          <w:szCs w:val="24"/>
          <w:lang w:val="en-AU" w:eastAsia="zh-CN"/>
        </w:rPr>
        <w:t>and provide an opportunity to grow</w:t>
      </w:r>
      <w:r w:rsidR="003D0AAF" w:rsidRPr="008353BF">
        <w:rPr>
          <w:szCs w:val="24"/>
          <w:lang w:val="en-AU" w:eastAsia="zh-CN"/>
        </w:rPr>
        <w:t xml:space="preserve"> </w:t>
      </w:r>
      <w:r w:rsidRPr="008353BF">
        <w:rPr>
          <w:szCs w:val="24"/>
          <w:lang w:val="en-AU" w:eastAsia="zh-CN"/>
        </w:rPr>
        <w:t>the agricultural sector.</w:t>
      </w:r>
    </w:p>
    <w:p w14:paraId="1475B3A1" w14:textId="7385456F" w:rsidR="00EA3F00" w:rsidRPr="008353BF" w:rsidRDefault="00EA3F00" w:rsidP="003D0AAF">
      <w:pPr>
        <w:pStyle w:val="Heading2"/>
      </w:pPr>
      <w:bookmarkStart w:id="4" w:name="_Toc54864548"/>
      <w:r w:rsidRPr="008353BF">
        <w:t>Land Capability</w:t>
      </w:r>
      <w:r w:rsidR="003D0AAF" w:rsidRPr="008353BF">
        <w:t xml:space="preserve"> </w:t>
      </w:r>
      <w:r w:rsidRPr="008353BF">
        <w:t>Assessment</w:t>
      </w:r>
      <w:bookmarkEnd w:id="4"/>
    </w:p>
    <w:p w14:paraId="3F2AEBC6" w14:textId="0FCA4D39" w:rsidR="00EA3F00" w:rsidRPr="008353BF" w:rsidRDefault="00EA3F00" w:rsidP="003D0AAF">
      <w:pPr>
        <w:rPr>
          <w:szCs w:val="24"/>
          <w:lang w:val="en-AU" w:eastAsia="zh-CN"/>
        </w:rPr>
      </w:pPr>
      <w:r w:rsidRPr="008353BF">
        <w:rPr>
          <w:szCs w:val="24"/>
          <w:lang w:val="en-AU" w:eastAsia="zh-CN"/>
        </w:rPr>
        <w:t>The City of Whittlesea partnered</w:t>
      </w:r>
      <w:r w:rsidR="003D0AAF" w:rsidRPr="008353BF">
        <w:rPr>
          <w:szCs w:val="24"/>
          <w:lang w:val="en-AU" w:eastAsia="zh-CN"/>
        </w:rPr>
        <w:t xml:space="preserve"> </w:t>
      </w:r>
      <w:r w:rsidRPr="008353BF">
        <w:rPr>
          <w:szCs w:val="24"/>
          <w:lang w:val="en-AU" w:eastAsia="zh-CN"/>
        </w:rPr>
        <w:t>with Deakin University and the local</w:t>
      </w:r>
      <w:r w:rsidR="003D0AAF" w:rsidRPr="008353BF">
        <w:rPr>
          <w:szCs w:val="24"/>
          <w:lang w:val="en-AU" w:eastAsia="zh-CN"/>
        </w:rPr>
        <w:t xml:space="preserve"> </w:t>
      </w:r>
      <w:r w:rsidRPr="008353BF">
        <w:rPr>
          <w:szCs w:val="24"/>
          <w:lang w:val="en-AU" w:eastAsia="zh-CN"/>
        </w:rPr>
        <w:t>farming community to investigate</w:t>
      </w:r>
      <w:r w:rsidR="003D0AAF" w:rsidRPr="008353BF">
        <w:rPr>
          <w:szCs w:val="24"/>
          <w:lang w:val="en-AU" w:eastAsia="zh-CN"/>
        </w:rPr>
        <w:t xml:space="preserve"> </w:t>
      </w:r>
      <w:r w:rsidRPr="008353BF">
        <w:rPr>
          <w:szCs w:val="24"/>
          <w:lang w:val="en-AU" w:eastAsia="zh-CN"/>
        </w:rPr>
        <w:t>the potential of agriculture in the</w:t>
      </w:r>
      <w:r w:rsidR="003D0AAF" w:rsidRPr="008353BF">
        <w:rPr>
          <w:szCs w:val="24"/>
          <w:lang w:val="en-AU" w:eastAsia="zh-CN"/>
        </w:rPr>
        <w:t xml:space="preserve"> </w:t>
      </w:r>
      <w:r w:rsidRPr="008353BF">
        <w:rPr>
          <w:szCs w:val="24"/>
          <w:lang w:val="en-AU" w:eastAsia="zh-CN"/>
        </w:rPr>
        <w:t>rural north and its role in supporting</w:t>
      </w:r>
      <w:r w:rsidR="003D0AAF" w:rsidRPr="008353BF">
        <w:rPr>
          <w:szCs w:val="24"/>
          <w:lang w:val="en-AU" w:eastAsia="zh-CN"/>
        </w:rPr>
        <w:t xml:space="preserve"> </w:t>
      </w:r>
      <w:r w:rsidRPr="008353BF">
        <w:rPr>
          <w:szCs w:val="24"/>
          <w:lang w:val="en-AU" w:eastAsia="zh-CN"/>
        </w:rPr>
        <w:t>the economic and environmental</w:t>
      </w:r>
      <w:r w:rsidR="003D0AAF" w:rsidRPr="008353BF">
        <w:rPr>
          <w:szCs w:val="24"/>
          <w:lang w:val="en-AU" w:eastAsia="zh-CN"/>
        </w:rPr>
        <w:t xml:space="preserve"> </w:t>
      </w:r>
      <w:r w:rsidRPr="008353BF">
        <w:rPr>
          <w:szCs w:val="24"/>
          <w:lang w:val="en-AU" w:eastAsia="zh-CN"/>
        </w:rPr>
        <w:t>sustainability, and social wellbeing</w:t>
      </w:r>
      <w:r w:rsidR="003D0AAF" w:rsidRPr="008353BF">
        <w:rPr>
          <w:szCs w:val="24"/>
          <w:lang w:val="en-AU" w:eastAsia="zh-CN"/>
        </w:rPr>
        <w:t xml:space="preserve"> </w:t>
      </w:r>
      <w:r w:rsidRPr="008353BF">
        <w:rPr>
          <w:szCs w:val="24"/>
          <w:lang w:val="en-AU" w:eastAsia="zh-CN"/>
        </w:rPr>
        <w:t>of our community.</w:t>
      </w:r>
    </w:p>
    <w:p w14:paraId="518910C6" w14:textId="77777777" w:rsidR="003D0AAF" w:rsidRPr="008353BF" w:rsidRDefault="00EA3F00" w:rsidP="003D0AAF">
      <w:pPr>
        <w:rPr>
          <w:szCs w:val="24"/>
          <w:lang w:val="en-AU" w:eastAsia="zh-CN"/>
        </w:rPr>
      </w:pPr>
      <w:r w:rsidRPr="008353BF">
        <w:rPr>
          <w:szCs w:val="24"/>
          <w:lang w:val="en-AU" w:eastAsia="zh-CN"/>
        </w:rPr>
        <w:t>To underpin this investigation, a</w:t>
      </w:r>
      <w:r w:rsidR="003D0AAF" w:rsidRPr="008353BF">
        <w:rPr>
          <w:szCs w:val="24"/>
          <w:lang w:val="en-AU" w:eastAsia="zh-CN"/>
        </w:rPr>
        <w:t xml:space="preserve"> </w:t>
      </w:r>
      <w:r w:rsidRPr="008353BF">
        <w:rPr>
          <w:szCs w:val="24"/>
          <w:lang w:val="en-AU" w:eastAsia="zh-CN"/>
        </w:rPr>
        <w:t>Land Capability Assessment was</w:t>
      </w:r>
      <w:r w:rsidR="003D0AAF" w:rsidRPr="008353BF">
        <w:rPr>
          <w:szCs w:val="24"/>
          <w:lang w:val="en-AU" w:eastAsia="zh-CN"/>
        </w:rPr>
        <w:t xml:space="preserve"> </w:t>
      </w:r>
      <w:r w:rsidRPr="008353BF">
        <w:rPr>
          <w:szCs w:val="24"/>
          <w:lang w:val="en-AU" w:eastAsia="zh-CN"/>
        </w:rPr>
        <w:t>conducted. The assessment looked</w:t>
      </w:r>
      <w:r w:rsidR="003D0AAF" w:rsidRPr="008353BF">
        <w:rPr>
          <w:szCs w:val="24"/>
          <w:lang w:val="en-AU" w:eastAsia="zh-CN"/>
        </w:rPr>
        <w:t xml:space="preserve"> </w:t>
      </w:r>
      <w:r w:rsidRPr="008353BF">
        <w:rPr>
          <w:szCs w:val="24"/>
          <w:lang w:val="en-AU" w:eastAsia="zh-CN"/>
        </w:rPr>
        <w:t>at a range of commodities, tested</w:t>
      </w:r>
      <w:r w:rsidR="003D0AAF" w:rsidRPr="008353BF">
        <w:rPr>
          <w:szCs w:val="24"/>
          <w:lang w:val="en-AU" w:eastAsia="zh-CN"/>
        </w:rPr>
        <w:t xml:space="preserve"> </w:t>
      </w:r>
      <w:r w:rsidRPr="008353BF">
        <w:rPr>
          <w:szCs w:val="24"/>
          <w:lang w:val="en-AU" w:eastAsia="zh-CN"/>
        </w:rPr>
        <w:t>their suitability/viability, and</w:t>
      </w:r>
      <w:r w:rsidR="003D0AAF" w:rsidRPr="008353BF">
        <w:rPr>
          <w:szCs w:val="24"/>
          <w:lang w:val="en-AU" w:eastAsia="zh-CN"/>
        </w:rPr>
        <w:t xml:space="preserve"> </w:t>
      </w:r>
      <w:r w:rsidRPr="008353BF">
        <w:rPr>
          <w:szCs w:val="24"/>
          <w:lang w:val="en-AU" w:eastAsia="zh-CN"/>
        </w:rPr>
        <w:t>plotted this data on story maps.</w:t>
      </w:r>
      <w:r w:rsidR="003D0AAF" w:rsidRPr="008353BF">
        <w:rPr>
          <w:szCs w:val="24"/>
          <w:lang w:val="en-AU" w:eastAsia="zh-CN"/>
        </w:rPr>
        <w:t xml:space="preserve"> </w:t>
      </w:r>
      <w:r w:rsidRPr="008353BF">
        <w:rPr>
          <w:szCs w:val="24"/>
          <w:lang w:val="en-AU" w:eastAsia="zh-CN"/>
        </w:rPr>
        <w:t>These can be found on our website.</w:t>
      </w:r>
    </w:p>
    <w:p w14:paraId="18B46DB0" w14:textId="1CD1A3F2" w:rsidR="00EA3F00" w:rsidRPr="008353BF" w:rsidRDefault="00EA3F00" w:rsidP="003D0AAF">
      <w:pPr>
        <w:rPr>
          <w:szCs w:val="24"/>
          <w:lang w:val="en-AU" w:eastAsia="zh-CN"/>
        </w:rPr>
      </w:pPr>
      <w:r w:rsidRPr="008353BF">
        <w:rPr>
          <w:szCs w:val="24"/>
          <w:lang w:val="en-AU" w:eastAsia="zh-CN"/>
        </w:rPr>
        <w:t>The Land Capability Project</w:t>
      </w:r>
      <w:r w:rsidR="003D0AAF" w:rsidRPr="008353BF">
        <w:rPr>
          <w:szCs w:val="24"/>
          <w:lang w:val="en-AU" w:eastAsia="zh-CN"/>
        </w:rPr>
        <w:t xml:space="preserve"> </w:t>
      </w:r>
      <w:r w:rsidRPr="008353BF">
        <w:rPr>
          <w:szCs w:val="24"/>
          <w:lang w:val="en-AU" w:eastAsia="zh-CN"/>
        </w:rPr>
        <w:t>gives Council the information to</w:t>
      </w:r>
      <w:r w:rsidR="003D0AAF" w:rsidRPr="008353BF">
        <w:rPr>
          <w:szCs w:val="24"/>
          <w:lang w:val="en-AU" w:eastAsia="zh-CN"/>
        </w:rPr>
        <w:t xml:space="preserve"> </w:t>
      </w:r>
      <w:r w:rsidRPr="008353BF">
        <w:rPr>
          <w:szCs w:val="24"/>
          <w:lang w:val="en-AU" w:eastAsia="zh-CN"/>
        </w:rPr>
        <w:t>formulate policy and strategy to</w:t>
      </w:r>
      <w:r w:rsidR="003D0AAF" w:rsidRPr="008353BF">
        <w:rPr>
          <w:szCs w:val="24"/>
          <w:lang w:val="en-AU" w:eastAsia="zh-CN"/>
        </w:rPr>
        <w:t xml:space="preserve"> </w:t>
      </w:r>
      <w:r w:rsidRPr="008353BF">
        <w:rPr>
          <w:szCs w:val="24"/>
          <w:lang w:val="en-AU" w:eastAsia="zh-CN"/>
        </w:rPr>
        <w:t>protect and support agricultural</w:t>
      </w:r>
      <w:r w:rsidR="003D0AAF" w:rsidRPr="008353BF">
        <w:rPr>
          <w:szCs w:val="24"/>
          <w:lang w:val="en-AU" w:eastAsia="zh-CN"/>
        </w:rPr>
        <w:t xml:space="preserve"> </w:t>
      </w:r>
      <w:r w:rsidRPr="008353BF">
        <w:rPr>
          <w:szCs w:val="24"/>
          <w:lang w:val="en-AU" w:eastAsia="zh-CN"/>
        </w:rPr>
        <w:t>production, as well as highlight</w:t>
      </w:r>
      <w:r w:rsidR="003D0AAF" w:rsidRPr="008353BF">
        <w:rPr>
          <w:szCs w:val="24"/>
          <w:lang w:val="en-AU" w:eastAsia="zh-CN"/>
        </w:rPr>
        <w:t xml:space="preserve"> </w:t>
      </w:r>
      <w:r w:rsidRPr="008353BF">
        <w:rPr>
          <w:szCs w:val="24"/>
          <w:lang w:val="en-AU" w:eastAsia="zh-CN"/>
        </w:rPr>
        <w:t>opportunities for our future</w:t>
      </w:r>
      <w:r w:rsidR="003D0AAF" w:rsidRPr="008353BF">
        <w:rPr>
          <w:szCs w:val="24"/>
          <w:lang w:val="en-AU" w:eastAsia="zh-CN"/>
        </w:rPr>
        <w:t xml:space="preserve"> </w:t>
      </w:r>
      <w:r w:rsidRPr="008353BF">
        <w:rPr>
          <w:szCs w:val="24"/>
          <w:lang w:val="en-AU" w:eastAsia="zh-CN"/>
        </w:rPr>
        <w:t>and existing agribusinesses in a</w:t>
      </w:r>
      <w:r w:rsidR="003D0AAF" w:rsidRPr="008353BF">
        <w:rPr>
          <w:szCs w:val="24"/>
          <w:lang w:val="en-AU" w:eastAsia="zh-CN"/>
        </w:rPr>
        <w:t xml:space="preserve"> </w:t>
      </w:r>
      <w:r w:rsidRPr="008353BF">
        <w:rPr>
          <w:szCs w:val="24"/>
          <w:lang w:val="en-AU" w:eastAsia="zh-CN"/>
        </w:rPr>
        <w:t>changing climate.</w:t>
      </w:r>
    </w:p>
    <w:p w14:paraId="58C2E466" w14:textId="77777777" w:rsidR="003D0AAF" w:rsidRPr="008353BF" w:rsidRDefault="00EA3F00" w:rsidP="003D0AAF">
      <w:pPr>
        <w:pStyle w:val="Heading2"/>
      </w:pPr>
      <w:bookmarkStart w:id="5" w:name="_Toc54864549"/>
      <w:r w:rsidRPr="008353BF">
        <w:t>Whittlesea Food and</w:t>
      </w:r>
      <w:r w:rsidR="003D0AAF" w:rsidRPr="008353BF">
        <w:t xml:space="preserve">  </w:t>
      </w:r>
      <w:r w:rsidRPr="008353BF">
        <w:t>Farm Collective</w:t>
      </w:r>
      <w:bookmarkEnd w:id="5"/>
      <w:r w:rsidR="003D0AAF" w:rsidRPr="008353BF">
        <w:t xml:space="preserve"> </w:t>
      </w:r>
    </w:p>
    <w:p w14:paraId="564A258E" w14:textId="4E959087" w:rsidR="00EA3F00" w:rsidRPr="008353BF" w:rsidRDefault="00EA3F00" w:rsidP="003D0AAF">
      <w:pPr>
        <w:rPr>
          <w:szCs w:val="24"/>
          <w:lang w:val="en-AU" w:eastAsia="zh-CN"/>
        </w:rPr>
      </w:pPr>
      <w:r w:rsidRPr="008353BF">
        <w:rPr>
          <w:szCs w:val="24"/>
          <w:lang w:val="en-AU" w:eastAsia="zh-CN"/>
        </w:rPr>
        <w:t>The Whittlesea Community Food</w:t>
      </w:r>
      <w:r w:rsidR="003D0AAF" w:rsidRPr="008353BF">
        <w:rPr>
          <w:szCs w:val="24"/>
          <w:lang w:val="en-AU" w:eastAsia="zh-CN"/>
        </w:rPr>
        <w:t xml:space="preserve"> </w:t>
      </w:r>
      <w:r w:rsidRPr="008353BF">
        <w:rPr>
          <w:szCs w:val="24"/>
          <w:lang w:val="en-AU" w:eastAsia="zh-CN"/>
        </w:rPr>
        <w:t>and Farm Collective is a collaboration</w:t>
      </w:r>
      <w:r w:rsidR="003D0AAF" w:rsidRPr="008353BF">
        <w:rPr>
          <w:szCs w:val="24"/>
          <w:lang w:val="en-AU" w:eastAsia="zh-CN"/>
        </w:rPr>
        <w:t xml:space="preserve"> </w:t>
      </w:r>
      <w:r w:rsidRPr="008353BF">
        <w:rPr>
          <w:szCs w:val="24"/>
          <w:lang w:val="en-AU" w:eastAsia="zh-CN"/>
        </w:rPr>
        <w:t>between the City of Whittlesea,</w:t>
      </w:r>
      <w:r w:rsidR="003D0AAF" w:rsidRPr="008353BF">
        <w:rPr>
          <w:szCs w:val="24"/>
          <w:lang w:val="en-AU" w:eastAsia="zh-CN"/>
        </w:rPr>
        <w:t xml:space="preserve"> </w:t>
      </w:r>
      <w:r w:rsidRPr="008353BF">
        <w:rPr>
          <w:szCs w:val="24"/>
          <w:lang w:val="en-AU" w:eastAsia="zh-CN"/>
        </w:rPr>
        <w:t>Melbourne Polytechnic, Whittlesea</w:t>
      </w:r>
      <w:r w:rsidR="003D0AAF" w:rsidRPr="008353BF">
        <w:rPr>
          <w:szCs w:val="24"/>
          <w:lang w:val="en-AU" w:eastAsia="zh-CN"/>
        </w:rPr>
        <w:t xml:space="preserve"> </w:t>
      </w:r>
      <w:r w:rsidRPr="008353BF">
        <w:rPr>
          <w:szCs w:val="24"/>
          <w:lang w:val="en-AU" w:eastAsia="zh-CN"/>
        </w:rPr>
        <w:t>Community Connections and Yarra</w:t>
      </w:r>
      <w:r w:rsidR="003D0AAF" w:rsidRPr="008353BF">
        <w:rPr>
          <w:szCs w:val="24"/>
          <w:lang w:val="en-AU" w:eastAsia="zh-CN"/>
        </w:rPr>
        <w:t xml:space="preserve"> </w:t>
      </w:r>
      <w:r w:rsidRPr="008353BF">
        <w:rPr>
          <w:szCs w:val="24"/>
          <w:lang w:val="en-AU" w:eastAsia="zh-CN"/>
        </w:rPr>
        <w:t>Valley Water.</w:t>
      </w:r>
    </w:p>
    <w:p w14:paraId="107715D6" w14:textId="4A22DA7A" w:rsidR="00EA3F00" w:rsidRPr="008353BF" w:rsidRDefault="00EA3F00" w:rsidP="00C01DA6">
      <w:pPr>
        <w:rPr>
          <w:szCs w:val="24"/>
          <w:lang w:val="en-AU" w:eastAsia="zh-CN"/>
        </w:rPr>
      </w:pPr>
      <w:r w:rsidRPr="008353BF">
        <w:rPr>
          <w:szCs w:val="24"/>
          <w:lang w:val="en-AU" w:eastAsia="zh-CN"/>
        </w:rPr>
        <w:t>The project i</w:t>
      </w:r>
      <w:r w:rsidR="003D0AAF" w:rsidRPr="008353BF">
        <w:rPr>
          <w:szCs w:val="24"/>
          <w:lang w:val="en-AU" w:eastAsia="zh-CN"/>
        </w:rPr>
        <w:t>n</w:t>
      </w:r>
      <w:r w:rsidRPr="008353BF">
        <w:rPr>
          <w:szCs w:val="24"/>
          <w:lang w:val="en-AU" w:eastAsia="zh-CN"/>
        </w:rPr>
        <w:t>volves the</w:t>
      </w:r>
      <w:r w:rsidR="003D0AAF" w:rsidRPr="008353BF">
        <w:rPr>
          <w:szCs w:val="24"/>
          <w:lang w:val="en-AU" w:eastAsia="zh-CN"/>
        </w:rPr>
        <w:t xml:space="preserve"> </w:t>
      </w:r>
      <w:r w:rsidRPr="008353BF">
        <w:rPr>
          <w:szCs w:val="24"/>
          <w:lang w:val="en-AU" w:eastAsia="zh-CN"/>
        </w:rPr>
        <w:t>development of a mixed farming</w:t>
      </w:r>
      <w:r w:rsidR="003D0AAF" w:rsidRPr="008353BF">
        <w:rPr>
          <w:szCs w:val="24"/>
          <w:lang w:val="en-AU" w:eastAsia="zh-CN"/>
        </w:rPr>
        <w:t xml:space="preserve"> </w:t>
      </w:r>
      <w:r w:rsidRPr="008353BF">
        <w:rPr>
          <w:szCs w:val="24"/>
          <w:lang w:val="en-AU" w:eastAsia="zh-CN"/>
        </w:rPr>
        <w:t>enterprise. This will provide</w:t>
      </w:r>
      <w:r w:rsidR="003D0AAF" w:rsidRPr="008353BF">
        <w:rPr>
          <w:szCs w:val="24"/>
          <w:lang w:val="en-AU" w:eastAsia="zh-CN"/>
        </w:rPr>
        <w:t xml:space="preserve"> </w:t>
      </w:r>
      <w:r w:rsidRPr="008353BF">
        <w:rPr>
          <w:szCs w:val="24"/>
          <w:lang w:val="en-AU" w:eastAsia="zh-CN"/>
        </w:rPr>
        <w:t>food for distribution into the</w:t>
      </w:r>
      <w:r w:rsidR="003D0AAF" w:rsidRPr="008353BF">
        <w:rPr>
          <w:szCs w:val="24"/>
          <w:lang w:val="en-AU" w:eastAsia="zh-CN"/>
        </w:rPr>
        <w:t xml:space="preserve"> </w:t>
      </w:r>
      <w:r w:rsidRPr="008353BF">
        <w:rPr>
          <w:szCs w:val="24"/>
          <w:lang w:val="en-AU" w:eastAsia="zh-CN"/>
        </w:rPr>
        <w:t>local emergency relief network,</w:t>
      </w:r>
      <w:r w:rsidR="00C01DA6" w:rsidRPr="008353BF">
        <w:rPr>
          <w:szCs w:val="24"/>
          <w:lang w:val="en-AU" w:eastAsia="zh-CN"/>
        </w:rPr>
        <w:t xml:space="preserve"> </w:t>
      </w:r>
      <w:r w:rsidRPr="008353BF">
        <w:rPr>
          <w:szCs w:val="24"/>
          <w:lang w:val="en-AU" w:eastAsia="zh-CN"/>
        </w:rPr>
        <w:t>volunteering, education and</w:t>
      </w:r>
      <w:r w:rsidR="00C01DA6" w:rsidRPr="008353BF">
        <w:rPr>
          <w:szCs w:val="24"/>
          <w:lang w:val="en-AU" w:eastAsia="zh-CN"/>
        </w:rPr>
        <w:t xml:space="preserve"> </w:t>
      </w:r>
      <w:r w:rsidRPr="008353BF">
        <w:rPr>
          <w:szCs w:val="24"/>
          <w:lang w:val="en-AU" w:eastAsia="zh-CN"/>
        </w:rPr>
        <w:t>employment opportunities and</w:t>
      </w:r>
      <w:r w:rsidR="00C01DA6" w:rsidRPr="008353BF">
        <w:rPr>
          <w:szCs w:val="24"/>
          <w:lang w:val="en-AU" w:eastAsia="zh-CN"/>
        </w:rPr>
        <w:t xml:space="preserve"> </w:t>
      </w:r>
      <w:r w:rsidRPr="008353BF">
        <w:rPr>
          <w:szCs w:val="24"/>
          <w:lang w:val="en-AU" w:eastAsia="zh-CN"/>
        </w:rPr>
        <w:t>investigation of best practice</w:t>
      </w:r>
      <w:r w:rsidR="00C01DA6" w:rsidRPr="008353BF">
        <w:rPr>
          <w:szCs w:val="24"/>
          <w:lang w:val="en-AU" w:eastAsia="zh-CN"/>
        </w:rPr>
        <w:t xml:space="preserve"> </w:t>
      </w:r>
      <w:r w:rsidRPr="008353BF">
        <w:rPr>
          <w:szCs w:val="24"/>
          <w:lang w:val="en-AU" w:eastAsia="zh-CN"/>
        </w:rPr>
        <w:t>sustainable agriculture systems for</w:t>
      </w:r>
      <w:r w:rsidR="00C01DA6" w:rsidRPr="008353BF">
        <w:rPr>
          <w:szCs w:val="24"/>
          <w:lang w:val="en-AU" w:eastAsia="zh-CN"/>
        </w:rPr>
        <w:t xml:space="preserve"> </w:t>
      </w:r>
      <w:r w:rsidRPr="008353BF">
        <w:rPr>
          <w:szCs w:val="24"/>
          <w:lang w:val="en-AU" w:eastAsia="zh-CN"/>
        </w:rPr>
        <w:t>peri-urban areas.</w:t>
      </w:r>
    </w:p>
    <w:p w14:paraId="24073377" w14:textId="2C4A28B9" w:rsidR="00EA3F00" w:rsidRPr="008353BF" w:rsidRDefault="00EA3F00" w:rsidP="00733695">
      <w:pPr>
        <w:keepNext/>
        <w:rPr>
          <w:szCs w:val="24"/>
          <w:lang w:val="en-AU" w:eastAsia="zh-CN"/>
        </w:rPr>
      </w:pPr>
      <w:r w:rsidRPr="008353BF">
        <w:rPr>
          <w:szCs w:val="24"/>
          <w:lang w:val="en-AU" w:eastAsia="zh-CN"/>
        </w:rPr>
        <w:lastRenderedPageBreak/>
        <w:t>This project will provide our</w:t>
      </w:r>
      <w:r w:rsidR="00C01DA6" w:rsidRPr="008353BF">
        <w:rPr>
          <w:szCs w:val="24"/>
          <w:lang w:val="en-AU" w:eastAsia="zh-CN"/>
        </w:rPr>
        <w:t xml:space="preserve"> </w:t>
      </w:r>
      <w:r w:rsidRPr="008353BF">
        <w:rPr>
          <w:szCs w:val="24"/>
          <w:lang w:val="en-AU" w:eastAsia="zh-CN"/>
        </w:rPr>
        <w:t>agribusinesses with insight into:</w:t>
      </w:r>
    </w:p>
    <w:p w14:paraId="434E18D9" w14:textId="29A9CE10" w:rsidR="00EA3F00" w:rsidRPr="008353BF" w:rsidRDefault="00EA3F00" w:rsidP="00C01DA6">
      <w:pPr>
        <w:pStyle w:val="ListParagraph"/>
        <w:rPr>
          <w:lang w:val="en-AU"/>
        </w:rPr>
      </w:pPr>
      <w:r w:rsidRPr="008353BF">
        <w:rPr>
          <w:lang w:val="en-AU"/>
        </w:rPr>
        <w:t>Innovative farming options;</w:t>
      </w:r>
    </w:p>
    <w:p w14:paraId="1E50F9A7" w14:textId="740BAC08" w:rsidR="00EA3F00" w:rsidRPr="008353BF" w:rsidRDefault="00EA3F00" w:rsidP="00C01DA6">
      <w:pPr>
        <w:pStyle w:val="ListParagraph"/>
        <w:rPr>
          <w:lang w:val="en-AU"/>
        </w:rPr>
      </w:pPr>
      <w:r w:rsidRPr="008353BF">
        <w:rPr>
          <w:lang w:val="en-AU"/>
        </w:rPr>
        <w:t>The use of recycled water to</w:t>
      </w:r>
      <w:r w:rsidR="00C01DA6" w:rsidRPr="008353BF">
        <w:rPr>
          <w:lang w:val="en-AU"/>
        </w:rPr>
        <w:t xml:space="preserve"> </w:t>
      </w:r>
      <w:r w:rsidRPr="008353BF">
        <w:rPr>
          <w:lang w:val="en-AU"/>
        </w:rPr>
        <w:t>enhance production;</w:t>
      </w:r>
    </w:p>
    <w:p w14:paraId="23862AE0" w14:textId="1A871032" w:rsidR="00EA3F00" w:rsidRPr="008353BF" w:rsidRDefault="00EA3F00" w:rsidP="00C01DA6">
      <w:pPr>
        <w:pStyle w:val="ListParagraph"/>
        <w:rPr>
          <w:lang w:val="en-AU"/>
        </w:rPr>
      </w:pPr>
      <w:r w:rsidRPr="008353BF">
        <w:rPr>
          <w:lang w:val="en-AU"/>
        </w:rPr>
        <w:t>The benefits of diversification;</w:t>
      </w:r>
    </w:p>
    <w:p w14:paraId="558DFDD5" w14:textId="6EFB1B73" w:rsidR="00EA3F00" w:rsidRPr="008353BF" w:rsidRDefault="00EA3F00" w:rsidP="00C01DA6">
      <w:pPr>
        <w:pStyle w:val="ListParagraph"/>
        <w:rPr>
          <w:lang w:val="en-AU"/>
        </w:rPr>
      </w:pPr>
      <w:r w:rsidRPr="008353BF">
        <w:rPr>
          <w:lang w:val="en-AU"/>
        </w:rPr>
        <w:t>Sustainable farming practices</w:t>
      </w:r>
      <w:r w:rsidR="00C01DA6" w:rsidRPr="008353BF">
        <w:rPr>
          <w:lang w:val="en-AU"/>
        </w:rPr>
        <w:t xml:space="preserve"> </w:t>
      </w:r>
      <w:r w:rsidRPr="008353BF">
        <w:rPr>
          <w:lang w:val="en-AU"/>
        </w:rPr>
        <w:t>which achieve high productivity</w:t>
      </w:r>
      <w:r w:rsidR="00C01DA6" w:rsidRPr="008353BF">
        <w:rPr>
          <w:lang w:val="en-AU"/>
        </w:rPr>
        <w:t xml:space="preserve"> </w:t>
      </w:r>
      <w:r w:rsidRPr="008353BF">
        <w:rPr>
          <w:lang w:val="en-AU"/>
        </w:rPr>
        <w:t>and promote biodiversity.</w:t>
      </w:r>
    </w:p>
    <w:p w14:paraId="1C95E098" w14:textId="5BF3541A" w:rsidR="00EA3F00" w:rsidRPr="008353BF" w:rsidRDefault="00EA3F00" w:rsidP="00C01DA6">
      <w:pPr>
        <w:jc w:val="center"/>
        <w:rPr>
          <w:szCs w:val="24"/>
          <w:lang w:val="en-AU" w:eastAsia="zh-CN"/>
        </w:rPr>
      </w:pPr>
      <w:r w:rsidRPr="008353BF">
        <w:rPr>
          <w:noProof/>
          <w:szCs w:val="24"/>
          <w:lang w:val="en-AU" w:eastAsia="zh-CN"/>
        </w:rPr>
        <w:drawing>
          <wp:inline distT="0" distB="0" distL="0" distR="0" wp14:anchorId="5607CACB" wp14:editId="783B0E95">
            <wp:extent cx="2581275" cy="1333500"/>
            <wp:effectExtent l="0" t="0" r="9525" b="0"/>
            <wp:docPr id="8" name="Picture 8" descr="Whittlesea Community Farm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81275" cy="1333500"/>
                    </a:xfrm>
                    <a:prstGeom prst="rect">
                      <a:avLst/>
                    </a:prstGeom>
                    <a:noFill/>
                    <a:ln>
                      <a:noFill/>
                    </a:ln>
                  </pic:spPr>
                </pic:pic>
              </a:graphicData>
            </a:graphic>
          </wp:inline>
        </w:drawing>
      </w:r>
    </w:p>
    <w:p w14:paraId="0736ACAD" w14:textId="155A6829" w:rsidR="00EA3F00" w:rsidRPr="008353BF" w:rsidRDefault="00EA3F00" w:rsidP="00C01DA6">
      <w:pPr>
        <w:pStyle w:val="Heading2"/>
      </w:pPr>
      <w:bookmarkStart w:id="6" w:name="_Toc54864550"/>
      <w:r w:rsidRPr="008353BF">
        <w:t>Regenerative Agriculture</w:t>
      </w:r>
      <w:r w:rsidR="00C01DA6" w:rsidRPr="008353BF">
        <w:t xml:space="preserve"> </w:t>
      </w:r>
      <w:r w:rsidRPr="008353BF">
        <w:t>and its potential for</w:t>
      </w:r>
      <w:r w:rsidR="00C01DA6" w:rsidRPr="008353BF">
        <w:t xml:space="preserve"> </w:t>
      </w:r>
      <w:r w:rsidRPr="008353BF">
        <w:t>enhancing climate</w:t>
      </w:r>
      <w:r w:rsidR="00C01DA6" w:rsidRPr="008353BF">
        <w:t xml:space="preserve"> </w:t>
      </w:r>
      <w:r w:rsidRPr="008353BF">
        <w:t>resilience</w:t>
      </w:r>
      <w:bookmarkEnd w:id="6"/>
    </w:p>
    <w:p w14:paraId="37BC2F61" w14:textId="366EC1FC" w:rsidR="00EA3F00" w:rsidRPr="008353BF" w:rsidRDefault="00EA3F00" w:rsidP="00C01DA6">
      <w:pPr>
        <w:rPr>
          <w:szCs w:val="24"/>
          <w:lang w:val="en-AU" w:eastAsia="zh-CN"/>
        </w:rPr>
      </w:pPr>
      <w:r w:rsidRPr="008353BF">
        <w:rPr>
          <w:szCs w:val="24"/>
          <w:lang w:val="en-AU" w:eastAsia="zh-CN"/>
        </w:rPr>
        <w:t>The City of Whittlesea partnered</w:t>
      </w:r>
      <w:r w:rsidR="00C01DA6" w:rsidRPr="008353BF">
        <w:rPr>
          <w:szCs w:val="24"/>
          <w:lang w:val="en-AU" w:eastAsia="zh-CN"/>
        </w:rPr>
        <w:t xml:space="preserve"> </w:t>
      </w:r>
      <w:r w:rsidRPr="008353BF">
        <w:rPr>
          <w:szCs w:val="24"/>
          <w:lang w:val="en-AU" w:eastAsia="zh-CN"/>
        </w:rPr>
        <w:t>with Deakin University to consider</w:t>
      </w:r>
      <w:r w:rsidR="00C01DA6" w:rsidRPr="008353BF">
        <w:rPr>
          <w:szCs w:val="24"/>
          <w:lang w:val="en-AU" w:eastAsia="zh-CN"/>
        </w:rPr>
        <w:t xml:space="preserve"> </w:t>
      </w:r>
      <w:r w:rsidRPr="008353BF">
        <w:rPr>
          <w:szCs w:val="24"/>
          <w:lang w:val="en-AU" w:eastAsia="zh-CN"/>
        </w:rPr>
        <w:t>the concept of regenerative</w:t>
      </w:r>
      <w:r w:rsidR="00C01DA6" w:rsidRPr="008353BF">
        <w:rPr>
          <w:szCs w:val="24"/>
          <w:lang w:val="en-AU" w:eastAsia="zh-CN"/>
        </w:rPr>
        <w:t xml:space="preserve"> </w:t>
      </w:r>
      <w:r w:rsidRPr="008353BF">
        <w:rPr>
          <w:szCs w:val="24"/>
          <w:lang w:val="en-AU" w:eastAsia="zh-CN"/>
        </w:rPr>
        <w:t>agriculture and its potential to</w:t>
      </w:r>
      <w:r w:rsidR="00C01DA6" w:rsidRPr="008353BF">
        <w:rPr>
          <w:szCs w:val="24"/>
          <w:lang w:val="en-AU" w:eastAsia="zh-CN"/>
        </w:rPr>
        <w:t xml:space="preserve"> </w:t>
      </w:r>
      <w:r w:rsidRPr="008353BF">
        <w:rPr>
          <w:szCs w:val="24"/>
          <w:lang w:val="en-AU" w:eastAsia="zh-CN"/>
        </w:rPr>
        <w:t>support transformative change of</w:t>
      </w:r>
      <w:r w:rsidR="00C01DA6" w:rsidRPr="008353BF">
        <w:rPr>
          <w:szCs w:val="24"/>
          <w:lang w:val="en-AU" w:eastAsia="zh-CN"/>
        </w:rPr>
        <w:t xml:space="preserve"> </w:t>
      </w:r>
      <w:r w:rsidRPr="008353BF">
        <w:rPr>
          <w:szCs w:val="24"/>
          <w:lang w:val="en-AU" w:eastAsia="zh-CN"/>
        </w:rPr>
        <w:t>peri-urban agriculture for greater</w:t>
      </w:r>
      <w:r w:rsidR="00C01DA6" w:rsidRPr="008353BF">
        <w:rPr>
          <w:szCs w:val="24"/>
          <w:lang w:val="en-AU" w:eastAsia="zh-CN"/>
        </w:rPr>
        <w:t xml:space="preserve"> </w:t>
      </w:r>
      <w:r w:rsidRPr="008353BF">
        <w:rPr>
          <w:szCs w:val="24"/>
          <w:lang w:val="en-AU" w:eastAsia="zh-CN"/>
        </w:rPr>
        <w:t>climate resilience.</w:t>
      </w:r>
    </w:p>
    <w:p w14:paraId="371B8174" w14:textId="6C9B7AFD" w:rsidR="00EA3F00" w:rsidRPr="008353BF" w:rsidRDefault="00EA3F00" w:rsidP="00C01DA6">
      <w:pPr>
        <w:rPr>
          <w:szCs w:val="24"/>
          <w:lang w:val="en-AU" w:eastAsia="zh-CN"/>
        </w:rPr>
      </w:pPr>
      <w:r w:rsidRPr="008353BF">
        <w:rPr>
          <w:szCs w:val="24"/>
          <w:lang w:val="en-AU" w:eastAsia="zh-CN"/>
        </w:rPr>
        <w:t>“Reg</w:t>
      </w:r>
      <w:r w:rsidR="00C01DA6" w:rsidRPr="008353BF">
        <w:rPr>
          <w:szCs w:val="24"/>
          <w:lang w:val="en-AU" w:eastAsia="zh-CN"/>
        </w:rPr>
        <w:t>e</w:t>
      </w:r>
      <w:r w:rsidRPr="008353BF">
        <w:rPr>
          <w:szCs w:val="24"/>
          <w:lang w:val="en-AU" w:eastAsia="zh-CN"/>
        </w:rPr>
        <w:t>nerative Agriculture”</w:t>
      </w:r>
      <w:r w:rsidR="00C01DA6" w:rsidRPr="008353BF">
        <w:rPr>
          <w:szCs w:val="24"/>
          <w:lang w:val="en-AU" w:eastAsia="zh-CN"/>
        </w:rPr>
        <w:t xml:space="preserve"> </w:t>
      </w:r>
      <w:r w:rsidRPr="008353BF">
        <w:rPr>
          <w:szCs w:val="24"/>
          <w:lang w:val="en-AU" w:eastAsia="zh-CN"/>
        </w:rPr>
        <w:t>describes farming and grazing</w:t>
      </w:r>
      <w:r w:rsidR="00C01DA6" w:rsidRPr="008353BF">
        <w:rPr>
          <w:szCs w:val="24"/>
          <w:lang w:val="en-AU" w:eastAsia="zh-CN"/>
        </w:rPr>
        <w:t xml:space="preserve"> </w:t>
      </w:r>
      <w:r w:rsidRPr="008353BF">
        <w:rPr>
          <w:szCs w:val="24"/>
          <w:lang w:val="en-AU" w:eastAsia="zh-CN"/>
        </w:rPr>
        <w:t>practices that, among other</w:t>
      </w:r>
      <w:r w:rsidR="00C01DA6" w:rsidRPr="008353BF">
        <w:rPr>
          <w:szCs w:val="24"/>
          <w:lang w:val="en-AU" w:eastAsia="zh-CN"/>
        </w:rPr>
        <w:t xml:space="preserve"> </w:t>
      </w:r>
      <w:r w:rsidRPr="008353BF">
        <w:rPr>
          <w:szCs w:val="24"/>
          <w:lang w:val="en-AU" w:eastAsia="zh-CN"/>
        </w:rPr>
        <w:t>benefits, reverse climate change</w:t>
      </w:r>
      <w:r w:rsidR="00C01DA6" w:rsidRPr="008353BF">
        <w:rPr>
          <w:szCs w:val="24"/>
          <w:lang w:val="en-AU" w:eastAsia="zh-CN"/>
        </w:rPr>
        <w:t xml:space="preserve"> </w:t>
      </w:r>
      <w:r w:rsidRPr="008353BF">
        <w:rPr>
          <w:szCs w:val="24"/>
          <w:lang w:val="en-AU" w:eastAsia="zh-CN"/>
        </w:rPr>
        <w:t>by rebuilding soil organic matter</w:t>
      </w:r>
      <w:r w:rsidR="00C01DA6" w:rsidRPr="008353BF">
        <w:rPr>
          <w:szCs w:val="24"/>
          <w:lang w:val="en-AU" w:eastAsia="zh-CN"/>
        </w:rPr>
        <w:t xml:space="preserve"> </w:t>
      </w:r>
      <w:r w:rsidRPr="008353BF">
        <w:rPr>
          <w:szCs w:val="24"/>
          <w:lang w:val="en-AU" w:eastAsia="zh-CN"/>
        </w:rPr>
        <w:t>and restoring degraded soil</w:t>
      </w:r>
      <w:r w:rsidR="00C01DA6" w:rsidRPr="008353BF">
        <w:rPr>
          <w:szCs w:val="24"/>
          <w:lang w:val="en-AU" w:eastAsia="zh-CN"/>
        </w:rPr>
        <w:t xml:space="preserve"> </w:t>
      </w:r>
      <w:r w:rsidRPr="008353BF">
        <w:rPr>
          <w:szCs w:val="24"/>
          <w:lang w:val="en-AU" w:eastAsia="zh-CN"/>
        </w:rPr>
        <w:t>biodiversity. This results in both</w:t>
      </w:r>
      <w:r w:rsidR="00C01DA6" w:rsidRPr="008353BF">
        <w:rPr>
          <w:szCs w:val="24"/>
          <w:lang w:val="en-AU" w:eastAsia="zh-CN"/>
        </w:rPr>
        <w:t xml:space="preserve"> </w:t>
      </w:r>
      <w:r w:rsidRPr="008353BF">
        <w:rPr>
          <w:szCs w:val="24"/>
          <w:lang w:val="en-AU" w:eastAsia="zh-CN"/>
        </w:rPr>
        <w:t>carbon drawdown and improving</w:t>
      </w:r>
      <w:r w:rsidR="00C01DA6" w:rsidRPr="008353BF">
        <w:rPr>
          <w:szCs w:val="24"/>
          <w:lang w:val="en-AU" w:eastAsia="zh-CN"/>
        </w:rPr>
        <w:t xml:space="preserve"> </w:t>
      </w:r>
      <w:r w:rsidRPr="008353BF">
        <w:rPr>
          <w:szCs w:val="24"/>
          <w:lang w:val="en-AU" w:eastAsia="zh-CN"/>
        </w:rPr>
        <w:t>the water cycle.</w:t>
      </w:r>
    </w:p>
    <w:p w14:paraId="7D342FB6" w14:textId="0BC26312" w:rsidR="00EA3F00" w:rsidRPr="008353BF" w:rsidRDefault="00EA3F00" w:rsidP="00C01DA6">
      <w:pPr>
        <w:rPr>
          <w:szCs w:val="24"/>
          <w:lang w:val="en-AU" w:eastAsia="zh-CN"/>
        </w:rPr>
      </w:pPr>
      <w:r w:rsidRPr="008353BF">
        <w:rPr>
          <w:szCs w:val="24"/>
          <w:lang w:val="en-AU" w:eastAsia="zh-CN"/>
        </w:rPr>
        <w:t>As part of this project, five best</w:t>
      </w:r>
      <w:r w:rsidR="00C01DA6" w:rsidRPr="008353BF">
        <w:rPr>
          <w:szCs w:val="24"/>
          <w:lang w:val="en-AU" w:eastAsia="zh-CN"/>
        </w:rPr>
        <w:t xml:space="preserve"> </w:t>
      </w:r>
      <w:r w:rsidRPr="008353BF">
        <w:rPr>
          <w:szCs w:val="24"/>
          <w:lang w:val="en-AU" w:eastAsia="zh-CN"/>
        </w:rPr>
        <w:t>practice regenerative agriculture</w:t>
      </w:r>
      <w:r w:rsidR="00C01DA6" w:rsidRPr="008353BF">
        <w:rPr>
          <w:szCs w:val="24"/>
          <w:lang w:val="en-AU" w:eastAsia="zh-CN"/>
        </w:rPr>
        <w:t xml:space="preserve"> </w:t>
      </w:r>
      <w:r w:rsidRPr="008353BF">
        <w:rPr>
          <w:szCs w:val="24"/>
          <w:lang w:val="en-AU" w:eastAsia="zh-CN"/>
        </w:rPr>
        <w:t>practitioners were interviewed,</w:t>
      </w:r>
      <w:r w:rsidR="00C01DA6" w:rsidRPr="008353BF">
        <w:rPr>
          <w:szCs w:val="24"/>
          <w:lang w:val="en-AU" w:eastAsia="zh-CN"/>
        </w:rPr>
        <w:t xml:space="preserve"> </w:t>
      </w:r>
      <w:r w:rsidRPr="008353BF">
        <w:rPr>
          <w:szCs w:val="24"/>
          <w:lang w:val="en-AU" w:eastAsia="zh-CN"/>
        </w:rPr>
        <w:t>and a case study for each was</w:t>
      </w:r>
      <w:r w:rsidR="00C01DA6" w:rsidRPr="008353BF">
        <w:rPr>
          <w:szCs w:val="24"/>
          <w:lang w:val="en-AU" w:eastAsia="zh-CN"/>
        </w:rPr>
        <w:t xml:space="preserve"> </w:t>
      </w:r>
      <w:r w:rsidRPr="008353BF">
        <w:rPr>
          <w:szCs w:val="24"/>
          <w:lang w:val="en-AU" w:eastAsia="zh-CN"/>
        </w:rPr>
        <w:t>developed. These can be found on</w:t>
      </w:r>
      <w:r w:rsidR="00C01DA6" w:rsidRPr="008353BF">
        <w:rPr>
          <w:szCs w:val="24"/>
          <w:lang w:val="en-AU" w:eastAsia="zh-CN"/>
        </w:rPr>
        <w:t xml:space="preserve"> </w:t>
      </w:r>
      <w:r w:rsidRPr="008353BF">
        <w:rPr>
          <w:szCs w:val="24"/>
          <w:lang w:val="en-AU" w:eastAsia="zh-CN"/>
        </w:rPr>
        <w:t>our website.</w:t>
      </w:r>
    </w:p>
    <w:p w14:paraId="20EE5BA3" w14:textId="4E13720C" w:rsidR="00EA3F00" w:rsidRPr="008353BF" w:rsidRDefault="00EA3F00" w:rsidP="00C01DA6">
      <w:pPr>
        <w:rPr>
          <w:szCs w:val="24"/>
          <w:lang w:val="en-AU" w:eastAsia="zh-CN"/>
        </w:rPr>
      </w:pPr>
      <w:r w:rsidRPr="008353BF">
        <w:rPr>
          <w:szCs w:val="24"/>
          <w:lang w:val="en-AU" w:eastAsia="zh-CN"/>
        </w:rPr>
        <w:t>The findings from this project will</w:t>
      </w:r>
      <w:r w:rsidR="00C01DA6" w:rsidRPr="008353BF">
        <w:rPr>
          <w:szCs w:val="24"/>
          <w:lang w:val="en-AU" w:eastAsia="zh-CN"/>
        </w:rPr>
        <w:t xml:space="preserve"> </w:t>
      </w:r>
      <w:r w:rsidRPr="008353BF">
        <w:rPr>
          <w:szCs w:val="24"/>
          <w:lang w:val="en-AU" w:eastAsia="zh-CN"/>
        </w:rPr>
        <w:t>be used to encourage sustainable</w:t>
      </w:r>
      <w:r w:rsidR="00C01DA6" w:rsidRPr="008353BF">
        <w:rPr>
          <w:szCs w:val="24"/>
          <w:lang w:val="en-AU" w:eastAsia="zh-CN"/>
        </w:rPr>
        <w:t xml:space="preserve"> </w:t>
      </w:r>
      <w:r w:rsidRPr="008353BF">
        <w:rPr>
          <w:szCs w:val="24"/>
          <w:lang w:val="en-AU" w:eastAsia="zh-CN"/>
        </w:rPr>
        <w:t>farming practices and land</w:t>
      </w:r>
      <w:r w:rsidR="00C01DA6" w:rsidRPr="008353BF">
        <w:rPr>
          <w:szCs w:val="24"/>
          <w:lang w:val="en-AU" w:eastAsia="zh-CN"/>
        </w:rPr>
        <w:t xml:space="preserve"> </w:t>
      </w:r>
      <w:r w:rsidRPr="008353BF">
        <w:rPr>
          <w:szCs w:val="24"/>
          <w:lang w:val="en-AU" w:eastAsia="zh-CN"/>
        </w:rPr>
        <w:t>restoration, which will result in</w:t>
      </w:r>
      <w:r w:rsidR="00C01DA6" w:rsidRPr="008353BF">
        <w:rPr>
          <w:szCs w:val="24"/>
          <w:lang w:val="en-AU" w:eastAsia="zh-CN"/>
        </w:rPr>
        <w:t xml:space="preserve"> </w:t>
      </w:r>
      <w:r w:rsidRPr="008353BF">
        <w:rPr>
          <w:szCs w:val="24"/>
          <w:lang w:val="en-AU" w:eastAsia="zh-CN"/>
        </w:rPr>
        <w:t>long-term positive outcomes for</w:t>
      </w:r>
      <w:r w:rsidR="00C01DA6" w:rsidRPr="008353BF">
        <w:rPr>
          <w:szCs w:val="24"/>
          <w:lang w:val="en-AU" w:eastAsia="zh-CN"/>
        </w:rPr>
        <w:t xml:space="preserve"> </w:t>
      </w:r>
      <w:r w:rsidRPr="008353BF">
        <w:rPr>
          <w:szCs w:val="24"/>
          <w:lang w:val="en-AU" w:eastAsia="zh-CN"/>
        </w:rPr>
        <w:t>agriculture and the environment.</w:t>
      </w:r>
    </w:p>
    <w:p w14:paraId="398E2F43" w14:textId="50CA1999" w:rsidR="00EA3F00" w:rsidRPr="008353BF" w:rsidRDefault="00EA3F00" w:rsidP="00C01DA6">
      <w:pPr>
        <w:pStyle w:val="Heading1"/>
      </w:pPr>
      <w:bookmarkStart w:id="7" w:name="_Toc54864551"/>
      <w:r w:rsidRPr="008353BF">
        <w:lastRenderedPageBreak/>
        <w:t>Future</w:t>
      </w:r>
      <w:r w:rsidR="00C01DA6" w:rsidRPr="008353BF">
        <w:t xml:space="preserve"> </w:t>
      </w:r>
      <w:r w:rsidRPr="008353BF">
        <w:t>opportunities</w:t>
      </w:r>
      <w:bookmarkEnd w:id="7"/>
    </w:p>
    <w:p w14:paraId="1EB7E6B2" w14:textId="77777777" w:rsidR="00EA3F00" w:rsidRPr="008353BF" w:rsidRDefault="00EA3F00" w:rsidP="00C01DA6">
      <w:pPr>
        <w:pStyle w:val="Heading2"/>
      </w:pPr>
      <w:bookmarkStart w:id="8" w:name="_Toc54864552"/>
      <w:r w:rsidRPr="008353BF">
        <w:t>Export and Innovation Food Hub</w:t>
      </w:r>
      <w:bookmarkEnd w:id="8"/>
    </w:p>
    <w:p w14:paraId="71B069C1" w14:textId="710F4713" w:rsidR="00EA3F00" w:rsidRPr="008353BF" w:rsidRDefault="00EA3F00" w:rsidP="00C01DA6">
      <w:pPr>
        <w:pStyle w:val="ListParagraph"/>
        <w:rPr>
          <w:lang w:val="en-AU"/>
        </w:rPr>
      </w:pPr>
      <w:r w:rsidRPr="008353BF">
        <w:rPr>
          <w:lang w:val="en-AU"/>
        </w:rPr>
        <w:t>The City of Whittlesea is partnering with the</w:t>
      </w:r>
      <w:r w:rsidR="00C01DA6" w:rsidRPr="008353BF">
        <w:rPr>
          <w:lang w:val="en-AU"/>
        </w:rPr>
        <w:t xml:space="preserve"> </w:t>
      </w:r>
      <w:r w:rsidRPr="008353BF">
        <w:rPr>
          <w:lang w:val="en-AU"/>
        </w:rPr>
        <w:t>Melbourne Market Authority to advocate to State</w:t>
      </w:r>
      <w:r w:rsidR="00C01DA6" w:rsidRPr="008353BF">
        <w:rPr>
          <w:lang w:val="en-AU"/>
        </w:rPr>
        <w:t xml:space="preserve"> </w:t>
      </w:r>
      <w:r w:rsidRPr="008353BF">
        <w:rPr>
          <w:lang w:val="en-AU"/>
        </w:rPr>
        <w:t>government for the development of a business case</w:t>
      </w:r>
      <w:r w:rsidR="00C01DA6" w:rsidRPr="008353BF">
        <w:rPr>
          <w:lang w:val="en-AU"/>
        </w:rPr>
        <w:t xml:space="preserve"> </w:t>
      </w:r>
      <w:r w:rsidRPr="008353BF">
        <w:rPr>
          <w:lang w:val="en-AU"/>
        </w:rPr>
        <w:t>and implementation of the Export and Innovation</w:t>
      </w:r>
      <w:r w:rsidR="00C01DA6" w:rsidRPr="008353BF">
        <w:rPr>
          <w:lang w:val="en-AU"/>
        </w:rPr>
        <w:t xml:space="preserve"> </w:t>
      </w:r>
      <w:r w:rsidRPr="008353BF">
        <w:rPr>
          <w:lang w:val="en-AU"/>
        </w:rPr>
        <w:t>Food Hub adjacent to the Melbourne Wholesale</w:t>
      </w:r>
      <w:r w:rsidR="00C01DA6" w:rsidRPr="008353BF">
        <w:rPr>
          <w:lang w:val="en-AU"/>
        </w:rPr>
        <w:t xml:space="preserve"> </w:t>
      </w:r>
      <w:r w:rsidRPr="008353BF">
        <w:rPr>
          <w:lang w:val="en-AU"/>
        </w:rPr>
        <w:t>Fruit, Vegetable and Flower Market.</w:t>
      </w:r>
    </w:p>
    <w:p w14:paraId="09748CD6" w14:textId="2DFDE066" w:rsidR="00EA3F00" w:rsidRPr="008353BF" w:rsidRDefault="00EA3F00" w:rsidP="00C01DA6">
      <w:pPr>
        <w:pStyle w:val="ListParagraph"/>
        <w:rPr>
          <w:lang w:val="en-AU"/>
        </w:rPr>
      </w:pPr>
      <w:r w:rsidRPr="008353BF">
        <w:rPr>
          <w:lang w:val="en-AU"/>
        </w:rPr>
        <w:t>It will incorporate manufacturing, research and</w:t>
      </w:r>
      <w:r w:rsidR="00C01DA6" w:rsidRPr="008353BF">
        <w:rPr>
          <w:lang w:val="en-AU"/>
        </w:rPr>
        <w:t xml:space="preserve"> </w:t>
      </w:r>
      <w:r w:rsidRPr="008353BF">
        <w:rPr>
          <w:lang w:val="en-AU"/>
        </w:rPr>
        <w:t>development, education and logistics.</w:t>
      </w:r>
    </w:p>
    <w:p w14:paraId="0AE7D95B" w14:textId="530B4A00" w:rsidR="00EA3F00" w:rsidRPr="008353BF" w:rsidRDefault="00EA3F00" w:rsidP="00C01DA6">
      <w:pPr>
        <w:pStyle w:val="ListParagraph"/>
        <w:rPr>
          <w:lang w:val="en-AU"/>
        </w:rPr>
      </w:pPr>
      <w:r w:rsidRPr="008353BF">
        <w:rPr>
          <w:lang w:val="en-AU"/>
        </w:rPr>
        <w:t>It will provide a diverse range of employment</w:t>
      </w:r>
      <w:r w:rsidR="00C01DA6" w:rsidRPr="008353BF">
        <w:rPr>
          <w:lang w:val="en-AU"/>
        </w:rPr>
        <w:t xml:space="preserve"> </w:t>
      </w:r>
      <w:r w:rsidRPr="008353BF">
        <w:rPr>
          <w:lang w:val="en-AU"/>
        </w:rPr>
        <w:t>opportunities.</w:t>
      </w:r>
    </w:p>
    <w:p w14:paraId="6698F767" w14:textId="61CF2AD2" w:rsidR="00EA3F00" w:rsidRPr="008353BF" w:rsidRDefault="00EA3F00" w:rsidP="00C01DA6">
      <w:pPr>
        <w:pStyle w:val="ListParagraph"/>
        <w:rPr>
          <w:lang w:val="en-AU"/>
        </w:rPr>
      </w:pPr>
      <w:r w:rsidRPr="008353BF">
        <w:rPr>
          <w:lang w:val="en-AU"/>
        </w:rPr>
        <w:t>It presents an opportunity for collaboration</w:t>
      </w:r>
      <w:r w:rsidR="00C01DA6" w:rsidRPr="008353BF">
        <w:rPr>
          <w:lang w:val="en-AU"/>
        </w:rPr>
        <w:t xml:space="preserve"> </w:t>
      </w:r>
      <w:r w:rsidRPr="008353BF">
        <w:rPr>
          <w:lang w:val="en-AU"/>
        </w:rPr>
        <w:t>between businesses, educational institutions and</w:t>
      </w:r>
      <w:r w:rsidR="00C01DA6" w:rsidRPr="008353BF">
        <w:rPr>
          <w:lang w:val="en-AU"/>
        </w:rPr>
        <w:t xml:space="preserve"> </w:t>
      </w:r>
      <w:r w:rsidRPr="008353BF">
        <w:rPr>
          <w:lang w:val="en-AU"/>
        </w:rPr>
        <w:t>producers to discover and implement innovative</w:t>
      </w:r>
      <w:r w:rsidR="00C01DA6" w:rsidRPr="008353BF">
        <w:rPr>
          <w:lang w:val="en-AU"/>
        </w:rPr>
        <w:t xml:space="preserve"> </w:t>
      </w:r>
      <w:r w:rsidRPr="008353BF">
        <w:rPr>
          <w:lang w:val="en-AU"/>
        </w:rPr>
        <w:t>and improved ways of producing, manufacturing</w:t>
      </w:r>
      <w:r w:rsidR="00C01DA6" w:rsidRPr="008353BF">
        <w:rPr>
          <w:lang w:val="en-AU"/>
        </w:rPr>
        <w:t xml:space="preserve"> </w:t>
      </w:r>
      <w:r w:rsidRPr="008353BF">
        <w:rPr>
          <w:lang w:val="en-AU"/>
        </w:rPr>
        <w:t>and exporting food.</w:t>
      </w:r>
    </w:p>
    <w:p w14:paraId="46897E1E" w14:textId="76374061" w:rsidR="00A55C0F" w:rsidRPr="008353BF" w:rsidRDefault="00A55C0F" w:rsidP="00A55C0F">
      <w:pPr>
        <w:pStyle w:val="Heading2"/>
      </w:pPr>
      <w:bookmarkStart w:id="9" w:name="_Toc54864553"/>
      <w:r>
        <w:t>Epping Food and Kitchen Incubator</w:t>
      </w:r>
    </w:p>
    <w:p w14:paraId="23B83272" w14:textId="3D6C9897" w:rsidR="00A55C0F" w:rsidRPr="008353BF" w:rsidRDefault="00A55C0F" w:rsidP="00A55C0F">
      <w:pPr>
        <w:pStyle w:val="ListParagraph"/>
        <w:rPr>
          <w:lang w:val="en-AU"/>
        </w:rPr>
      </w:pPr>
      <w:r>
        <w:rPr>
          <w:lang w:val="en-AU"/>
        </w:rPr>
        <w:t>The City of Whittlesea has partnered with Melbourne Polytechnic to develop a Food and Kitchen Incubator Network that will provide a variety of critical services to local food and beverage entrepreneurs.</w:t>
      </w:r>
    </w:p>
    <w:p w14:paraId="6C740851" w14:textId="11A3BD0E" w:rsidR="00A55C0F" w:rsidRPr="008353BF" w:rsidRDefault="00A55C0F" w:rsidP="00A55C0F">
      <w:pPr>
        <w:pStyle w:val="ListParagraph"/>
        <w:rPr>
          <w:lang w:val="en-AU"/>
        </w:rPr>
      </w:pPr>
      <w:r>
        <w:rPr>
          <w:lang w:val="en-AU"/>
        </w:rPr>
        <w:t>It will include access to affordable</w:t>
      </w:r>
      <w:r w:rsidR="00507B83">
        <w:rPr>
          <w:lang w:val="en-AU"/>
        </w:rPr>
        <w:t xml:space="preserve"> and flexible commercial kitchen space and critical business support services and mentoring.</w:t>
      </w:r>
    </w:p>
    <w:p w14:paraId="3A700183" w14:textId="419A76B8" w:rsidR="00A55C0F" w:rsidRDefault="00507B83" w:rsidP="00A55C0F">
      <w:pPr>
        <w:pStyle w:val="ListParagraph"/>
        <w:rPr>
          <w:lang w:val="en-AU"/>
        </w:rPr>
      </w:pPr>
      <w:r>
        <w:rPr>
          <w:lang w:val="en-AU"/>
        </w:rPr>
        <w:t>It will provide access to local networks and supply chains as well as direct access to markets.</w:t>
      </w:r>
    </w:p>
    <w:p w14:paraId="5DC948F5" w14:textId="68192D9E" w:rsidR="00507B83" w:rsidRPr="008353BF" w:rsidRDefault="00507B83" w:rsidP="00A55C0F">
      <w:pPr>
        <w:pStyle w:val="ListParagraph"/>
        <w:rPr>
          <w:lang w:val="en-AU"/>
        </w:rPr>
      </w:pPr>
      <w:r>
        <w:rPr>
          <w:lang w:val="en-AU"/>
        </w:rPr>
        <w:t>This partnership provides an opportunity to upskill and reskill the community and support a shorter supply chain from farm to plate in the municipality.</w:t>
      </w:r>
    </w:p>
    <w:p w14:paraId="6666D2A2" w14:textId="77777777" w:rsidR="00507B83" w:rsidRPr="008353BF" w:rsidRDefault="00507B83" w:rsidP="00507B83">
      <w:pPr>
        <w:pStyle w:val="Heading2"/>
      </w:pPr>
      <w:bookmarkStart w:id="10" w:name="_Toc54864555"/>
      <w:r w:rsidRPr="008353BF">
        <w:t>Education</w:t>
      </w:r>
      <w:bookmarkEnd w:id="10"/>
    </w:p>
    <w:p w14:paraId="11AB830C" w14:textId="77777777" w:rsidR="00507B83" w:rsidRPr="008353BF" w:rsidRDefault="00507B83" w:rsidP="00507B83">
      <w:pPr>
        <w:pStyle w:val="ListParagraph"/>
        <w:rPr>
          <w:lang w:val="en-AU"/>
        </w:rPr>
      </w:pPr>
      <w:r w:rsidRPr="008353BF">
        <w:rPr>
          <w:lang w:val="en-AU"/>
        </w:rPr>
        <w:t>Proximity to La Trobe University, Melbourne Polytechnic and RMIT University allows agribusinesses to upskill, improving operations and gaining efficiencies.</w:t>
      </w:r>
    </w:p>
    <w:p w14:paraId="7BCF0FF0" w14:textId="77777777" w:rsidR="00507B83" w:rsidRPr="008353BF" w:rsidRDefault="00507B83" w:rsidP="00507B83">
      <w:pPr>
        <w:pStyle w:val="ListParagraph"/>
        <w:rPr>
          <w:lang w:val="en-AU"/>
        </w:rPr>
      </w:pPr>
      <w:r w:rsidRPr="008353BF">
        <w:rPr>
          <w:lang w:val="en-AU"/>
        </w:rPr>
        <w:t>Opportunity for agribusinesses to develop a unique education offering on small-scale farming given the increasing demand for locally and ethically produced food.</w:t>
      </w:r>
    </w:p>
    <w:p w14:paraId="57157B3E" w14:textId="33BCCD91" w:rsidR="00507B83" w:rsidRPr="008353BF" w:rsidRDefault="00507B83" w:rsidP="00507B83">
      <w:pPr>
        <w:pStyle w:val="Heading2"/>
      </w:pPr>
      <w:r>
        <w:t>Agri-Tourism</w:t>
      </w:r>
    </w:p>
    <w:p w14:paraId="6E25D622" w14:textId="3879553D" w:rsidR="00507B83" w:rsidRPr="008353BF" w:rsidRDefault="00507B83" w:rsidP="00507B83">
      <w:pPr>
        <w:pStyle w:val="ListParagraph"/>
        <w:rPr>
          <w:lang w:val="en-AU"/>
        </w:rPr>
      </w:pPr>
      <w:r>
        <w:rPr>
          <w:lang w:val="en-AU"/>
        </w:rPr>
        <w:t>Development of an action plan to support the growth of agricultural businesses in the emerging visitor economy sector.</w:t>
      </w:r>
    </w:p>
    <w:p w14:paraId="3C94C3AC" w14:textId="1C70F203" w:rsidR="00507B83" w:rsidRDefault="00507B83" w:rsidP="00507B83">
      <w:pPr>
        <w:pStyle w:val="ListParagraph"/>
        <w:rPr>
          <w:lang w:val="en-AU"/>
        </w:rPr>
      </w:pPr>
      <w:r>
        <w:rPr>
          <w:lang w:val="en-AU"/>
        </w:rPr>
        <w:t>Opportunity for income diversification and increased resilience to climate change.</w:t>
      </w:r>
    </w:p>
    <w:p w14:paraId="340115BD" w14:textId="6B3514E3" w:rsidR="00507B83" w:rsidRPr="008353BF" w:rsidRDefault="00507B83" w:rsidP="00507B83">
      <w:pPr>
        <w:pStyle w:val="ListParagraph"/>
        <w:rPr>
          <w:lang w:val="en-AU"/>
        </w:rPr>
      </w:pPr>
      <w:r>
        <w:rPr>
          <w:lang w:val="en-AU"/>
        </w:rPr>
        <w:t>Wider range of sales channels from local farmers markets to farmgate.</w:t>
      </w:r>
      <w:bookmarkStart w:id="11" w:name="_GoBack"/>
      <w:bookmarkEnd w:id="11"/>
    </w:p>
    <w:p w14:paraId="6F31CC6B" w14:textId="1154FF49" w:rsidR="00EA3F00" w:rsidRPr="008353BF" w:rsidRDefault="00EA3F00" w:rsidP="00C01DA6">
      <w:pPr>
        <w:pStyle w:val="Heading2"/>
      </w:pPr>
      <w:r w:rsidRPr="008353BF">
        <w:lastRenderedPageBreak/>
        <w:t>Share farming / leasing of farmland</w:t>
      </w:r>
      <w:r w:rsidR="00C01DA6" w:rsidRPr="008353BF">
        <w:t xml:space="preserve"> </w:t>
      </w:r>
      <w:r w:rsidRPr="008353BF">
        <w:t>in the green wedge area</w:t>
      </w:r>
      <w:bookmarkEnd w:id="9"/>
    </w:p>
    <w:p w14:paraId="2A2757D9" w14:textId="1388E5B0" w:rsidR="00EA3F00" w:rsidRPr="008353BF" w:rsidRDefault="00EA3F00" w:rsidP="00C01DA6">
      <w:pPr>
        <w:pStyle w:val="ListParagraph"/>
        <w:rPr>
          <w:lang w:val="en-AU"/>
        </w:rPr>
      </w:pPr>
      <w:r w:rsidRPr="008353BF">
        <w:rPr>
          <w:lang w:val="en-AU"/>
        </w:rPr>
        <w:t>Investigation of a platform to connect landholders in</w:t>
      </w:r>
      <w:r w:rsidR="00C01DA6" w:rsidRPr="008353BF">
        <w:rPr>
          <w:lang w:val="en-AU"/>
        </w:rPr>
        <w:t xml:space="preserve"> </w:t>
      </w:r>
      <w:r w:rsidRPr="008353BF">
        <w:rPr>
          <w:lang w:val="en-AU"/>
        </w:rPr>
        <w:t>the green wedge to future farmers to provide access</w:t>
      </w:r>
      <w:r w:rsidR="00C01DA6" w:rsidRPr="008353BF">
        <w:rPr>
          <w:lang w:val="en-AU"/>
        </w:rPr>
        <w:t xml:space="preserve"> </w:t>
      </w:r>
      <w:r w:rsidRPr="008353BF">
        <w:rPr>
          <w:lang w:val="en-AU"/>
        </w:rPr>
        <w:t>to land.</w:t>
      </w:r>
    </w:p>
    <w:p w14:paraId="40F064CF" w14:textId="6A8CE575" w:rsidR="00EA3F00" w:rsidRPr="008353BF" w:rsidRDefault="00EA3F00" w:rsidP="00C01DA6">
      <w:pPr>
        <w:pStyle w:val="ListParagraph"/>
        <w:rPr>
          <w:lang w:val="en-AU"/>
        </w:rPr>
      </w:pPr>
      <w:r w:rsidRPr="008353BF">
        <w:rPr>
          <w:lang w:val="en-AU"/>
        </w:rPr>
        <w:t>Improved accessibility and expansion opportunities</w:t>
      </w:r>
      <w:r w:rsidR="00C01DA6" w:rsidRPr="008353BF">
        <w:rPr>
          <w:lang w:val="en-AU"/>
        </w:rPr>
        <w:t xml:space="preserve"> </w:t>
      </w:r>
      <w:r w:rsidRPr="008353BF">
        <w:rPr>
          <w:lang w:val="en-AU"/>
        </w:rPr>
        <w:t>for new and existing agribusinesses without capital</w:t>
      </w:r>
      <w:r w:rsidR="00C01DA6" w:rsidRPr="008353BF">
        <w:rPr>
          <w:lang w:val="en-AU"/>
        </w:rPr>
        <w:t xml:space="preserve"> </w:t>
      </w:r>
      <w:r w:rsidRPr="008353BF">
        <w:rPr>
          <w:lang w:val="en-AU"/>
        </w:rPr>
        <w:t>outlay.</w:t>
      </w:r>
    </w:p>
    <w:p w14:paraId="1214DC81" w14:textId="72AC7348" w:rsidR="00EA3F00" w:rsidRPr="008353BF" w:rsidRDefault="00EA3F00" w:rsidP="00C01DA6">
      <w:pPr>
        <w:pStyle w:val="ListParagraph"/>
        <w:rPr>
          <w:lang w:val="en-AU"/>
        </w:rPr>
      </w:pPr>
      <w:r w:rsidRPr="008353BF">
        <w:rPr>
          <w:lang w:val="en-AU"/>
        </w:rPr>
        <w:t>A growing farming community can contribute to</w:t>
      </w:r>
      <w:r w:rsidR="00C01DA6" w:rsidRPr="008353BF">
        <w:rPr>
          <w:lang w:val="en-AU"/>
        </w:rPr>
        <w:t xml:space="preserve"> </w:t>
      </w:r>
      <w:r w:rsidRPr="008353BF">
        <w:rPr>
          <w:lang w:val="en-AU"/>
        </w:rPr>
        <w:t>greater collaboration and market influence.</w:t>
      </w:r>
    </w:p>
    <w:p w14:paraId="455BF038" w14:textId="77777777" w:rsidR="00EA3F00" w:rsidRPr="008353BF" w:rsidRDefault="00EA3F00" w:rsidP="00C01DA6">
      <w:pPr>
        <w:pStyle w:val="Heading2"/>
      </w:pPr>
      <w:bookmarkStart w:id="12" w:name="_Toc54864554"/>
      <w:r w:rsidRPr="008353BF">
        <w:t>Urban Agriculture</w:t>
      </w:r>
      <w:bookmarkEnd w:id="12"/>
    </w:p>
    <w:p w14:paraId="318D453F" w14:textId="399873CC" w:rsidR="00EA3F00" w:rsidRPr="008353BF" w:rsidRDefault="00EA3F00" w:rsidP="00C01DA6">
      <w:pPr>
        <w:pStyle w:val="ListParagraph"/>
        <w:rPr>
          <w:lang w:val="en-AU"/>
        </w:rPr>
      </w:pPr>
      <w:r w:rsidRPr="008353BF">
        <w:rPr>
          <w:lang w:val="en-AU"/>
        </w:rPr>
        <w:t>Advancements in the Internet of Things and ‘big</w:t>
      </w:r>
      <w:r w:rsidR="00C01DA6" w:rsidRPr="008353BF">
        <w:rPr>
          <w:lang w:val="en-AU"/>
        </w:rPr>
        <w:t xml:space="preserve"> </w:t>
      </w:r>
      <w:r w:rsidRPr="008353BF">
        <w:rPr>
          <w:lang w:val="en-AU"/>
        </w:rPr>
        <w:t>data’ provide opportunities for high yields from</w:t>
      </w:r>
      <w:r w:rsidR="00C01DA6" w:rsidRPr="008353BF">
        <w:rPr>
          <w:lang w:val="en-AU"/>
        </w:rPr>
        <w:t xml:space="preserve"> </w:t>
      </w:r>
      <w:r w:rsidRPr="008353BF">
        <w:rPr>
          <w:lang w:val="en-AU"/>
        </w:rPr>
        <w:t>small production areas making these systems ideal</w:t>
      </w:r>
      <w:r w:rsidR="00C01DA6" w:rsidRPr="008353BF">
        <w:rPr>
          <w:lang w:val="en-AU"/>
        </w:rPr>
        <w:t xml:space="preserve"> </w:t>
      </w:r>
      <w:r w:rsidRPr="008353BF">
        <w:rPr>
          <w:lang w:val="en-AU"/>
        </w:rPr>
        <w:t>for the urban environment.</w:t>
      </w:r>
    </w:p>
    <w:p w14:paraId="79BFD570" w14:textId="04E707E7" w:rsidR="00EA3F00" w:rsidRPr="008353BF" w:rsidRDefault="00EA3F00" w:rsidP="00C01DA6">
      <w:pPr>
        <w:pStyle w:val="ListParagraph"/>
        <w:rPr>
          <w:lang w:val="en-AU"/>
        </w:rPr>
      </w:pPr>
      <w:r w:rsidRPr="008353BF">
        <w:rPr>
          <w:lang w:val="en-AU"/>
        </w:rPr>
        <w:t>Availability of industrial land in our existing and</w:t>
      </w:r>
      <w:r w:rsidR="00C01DA6" w:rsidRPr="008353BF">
        <w:rPr>
          <w:lang w:val="en-AU"/>
        </w:rPr>
        <w:t xml:space="preserve"> </w:t>
      </w:r>
      <w:r w:rsidRPr="008353BF">
        <w:rPr>
          <w:lang w:val="en-AU"/>
        </w:rPr>
        <w:t>growth areas presents a major opportunity for the</w:t>
      </w:r>
      <w:r w:rsidR="00C01DA6" w:rsidRPr="008353BF">
        <w:rPr>
          <w:lang w:val="en-AU"/>
        </w:rPr>
        <w:t xml:space="preserve"> </w:t>
      </w:r>
      <w:r w:rsidRPr="008353BF">
        <w:rPr>
          <w:lang w:val="en-AU"/>
        </w:rPr>
        <w:t>development of indoor vertical farms using this</w:t>
      </w:r>
      <w:r w:rsidR="00C01DA6" w:rsidRPr="008353BF">
        <w:rPr>
          <w:lang w:val="en-AU"/>
        </w:rPr>
        <w:t xml:space="preserve"> </w:t>
      </w:r>
      <w:r w:rsidRPr="008353BF">
        <w:rPr>
          <w:lang w:val="en-AU"/>
        </w:rPr>
        <w:t>technology.</w:t>
      </w:r>
    </w:p>
    <w:p w14:paraId="60FF6549" w14:textId="51D24AB4" w:rsidR="00357DEB" w:rsidRPr="008353BF" w:rsidRDefault="00357DEB" w:rsidP="009B1CD2">
      <w:pPr>
        <w:rPr>
          <w:color w:val="00DA64"/>
          <w:szCs w:val="24"/>
          <w:lang w:val="en-AU" w:eastAsia="zh-CN"/>
        </w:rPr>
        <w:sectPr w:rsidR="00357DEB" w:rsidRPr="008353BF" w:rsidSect="00733695">
          <w:footerReference w:type="default" r:id="rId16"/>
          <w:pgSz w:w="11906" w:h="16838" w:code="9"/>
          <w:pgMar w:top="1440" w:right="1440" w:bottom="1440" w:left="1440" w:header="708" w:footer="992" w:gutter="0"/>
          <w:cols w:space="708"/>
          <w:docGrid w:linePitch="360"/>
        </w:sectPr>
      </w:pPr>
    </w:p>
    <w:p w14:paraId="6C8933BF" w14:textId="77777777" w:rsidR="00EA3F00" w:rsidRPr="008353BF" w:rsidRDefault="00EA3F00" w:rsidP="00C01DA6">
      <w:pPr>
        <w:pStyle w:val="Heading1"/>
      </w:pPr>
      <w:bookmarkStart w:id="13" w:name="_Toc54864556"/>
      <w:r w:rsidRPr="008353BF">
        <w:lastRenderedPageBreak/>
        <w:t>Contact us today</w:t>
      </w:r>
      <w:bookmarkEnd w:id="13"/>
    </w:p>
    <w:p w14:paraId="1B35A076" w14:textId="66930C4A" w:rsidR="00EA3F00" w:rsidRPr="008353BF" w:rsidRDefault="00EA3F00" w:rsidP="00EA3F00">
      <w:pPr>
        <w:rPr>
          <w:color w:val="000000"/>
          <w:sz w:val="28"/>
          <w:szCs w:val="28"/>
          <w:lang w:val="en-AU" w:eastAsia="zh-CN"/>
        </w:rPr>
      </w:pPr>
      <w:r w:rsidRPr="008353BF">
        <w:rPr>
          <w:color w:val="000000"/>
          <w:sz w:val="28"/>
          <w:szCs w:val="28"/>
          <w:lang w:val="en-AU" w:eastAsia="zh-CN"/>
        </w:rPr>
        <w:t>The Economic Development team look forward to working with you to support your investment and contribution to the local economy and community.</w:t>
      </w:r>
    </w:p>
    <w:p w14:paraId="40DD967C" w14:textId="27B30E3A" w:rsidR="001A2B8D" w:rsidRPr="008353BF" w:rsidRDefault="001A2B8D" w:rsidP="009B1CD2">
      <w:pPr>
        <w:rPr>
          <w:color w:val="000000"/>
          <w:sz w:val="28"/>
          <w:szCs w:val="28"/>
          <w:lang w:val="en-AU" w:eastAsia="zh-CN"/>
        </w:rPr>
      </w:pPr>
      <w:r w:rsidRPr="008353BF">
        <w:rPr>
          <w:rFonts w:ascii="Calibri-Light" w:eastAsiaTheme="minorEastAsia" w:hAnsi="Calibri-Light" w:cs="Calibri-Light"/>
          <w:noProof/>
          <w:sz w:val="120"/>
          <w:szCs w:val="120"/>
          <w:lang w:val="en-AU" w:eastAsia="zh-CN"/>
        </w:rPr>
        <w:drawing>
          <wp:inline distT="0" distB="0" distL="0" distR="0" wp14:anchorId="2F53B23E" wp14:editId="38E9B2F1">
            <wp:extent cx="2619375" cy="925513"/>
            <wp:effectExtent l="0" t="0" r="0" b="8255"/>
            <wp:docPr id="3" name="Picture 3" descr="Logo of the City of Whittlese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43363" cy="933989"/>
                    </a:xfrm>
                    <a:prstGeom prst="rect">
                      <a:avLst/>
                    </a:prstGeom>
                    <a:noFill/>
                    <a:ln>
                      <a:noFill/>
                    </a:ln>
                  </pic:spPr>
                </pic:pic>
              </a:graphicData>
            </a:graphic>
          </wp:inline>
        </w:drawing>
      </w:r>
    </w:p>
    <w:p w14:paraId="546472C9" w14:textId="77777777" w:rsidR="00EA3F00" w:rsidRPr="008353BF" w:rsidRDefault="00EA3F00" w:rsidP="00C01DA6">
      <w:pPr>
        <w:pStyle w:val="Heading2"/>
      </w:pPr>
      <w:bookmarkStart w:id="14" w:name="_Toc54864557"/>
      <w:r w:rsidRPr="008353BF">
        <w:t>Contact details</w:t>
      </w:r>
      <w:bookmarkEnd w:id="14"/>
    </w:p>
    <w:p w14:paraId="2C946795" w14:textId="004C9F01" w:rsidR="00EA3F00" w:rsidRPr="008353BF" w:rsidRDefault="00EA3F00" w:rsidP="00C01DA6">
      <w:pPr>
        <w:tabs>
          <w:tab w:val="left" w:pos="567"/>
        </w:tabs>
        <w:rPr>
          <w:lang w:val="en-AU"/>
        </w:rPr>
      </w:pPr>
      <w:r w:rsidRPr="008353BF">
        <w:rPr>
          <w:rStyle w:val="Strong"/>
          <w:lang w:val="en-AU"/>
        </w:rPr>
        <w:t>P</w:t>
      </w:r>
      <w:r w:rsidRPr="008353BF">
        <w:rPr>
          <w:lang w:val="en-AU"/>
        </w:rPr>
        <w:t xml:space="preserve"> </w:t>
      </w:r>
      <w:r w:rsidR="00C01DA6" w:rsidRPr="008353BF">
        <w:rPr>
          <w:lang w:val="en-AU"/>
        </w:rPr>
        <w:tab/>
      </w:r>
      <w:r w:rsidRPr="008353BF">
        <w:rPr>
          <w:lang w:val="en-AU"/>
        </w:rPr>
        <w:t>9217 2081</w:t>
      </w:r>
    </w:p>
    <w:p w14:paraId="54569273" w14:textId="4091074E" w:rsidR="00EA3F00" w:rsidRPr="008353BF" w:rsidRDefault="00EA3F00" w:rsidP="00C01DA6">
      <w:pPr>
        <w:tabs>
          <w:tab w:val="left" w:pos="567"/>
        </w:tabs>
        <w:rPr>
          <w:lang w:val="en-AU"/>
        </w:rPr>
      </w:pPr>
      <w:r w:rsidRPr="008353BF">
        <w:rPr>
          <w:rStyle w:val="Strong"/>
          <w:lang w:val="en-AU"/>
        </w:rPr>
        <w:t>E</w:t>
      </w:r>
      <w:r w:rsidRPr="008353BF">
        <w:rPr>
          <w:lang w:val="en-AU"/>
        </w:rPr>
        <w:t xml:space="preserve"> </w:t>
      </w:r>
      <w:r w:rsidR="00C01DA6" w:rsidRPr="008353BF">
        <w:rPr>
          <w:lang w:val="en-AU"/>
        </w:rPr>
        <w:tab/>
      </w:r>
      <w:hyperlink r:id="rId17" w:history="1">
        <w:r w:rsidRPr="008353BF">
          <w:rPr>
            <w:rStyle w:val="Hyperlink"/>
            <w:lang w:val="en-AU"/>
          </w:rPr>
          <w:t>agribusiness@whittlesea.vic.gov.au</w:t>
        </w:r>
      </w:hyperlink>
    </w:p>
    <w:p w14:paraId="183D1F05" w14:textId="03D2613C" w:rsidR="00EA3F00" w:rsidRPr="008353BF" w:rsidRDefault="00EA3F00" w:rsidP="00C01DA6">
      <w:pPr>
        <w:tabs>
          <w:tab w:val="left" w:pos="567"/>
        </w:tabs>
        <w:rPr>
          <w:lang w:val="en-AU"/>
        </w:rPr>
      </w:pPr>
      <w:r w:rsidRPr="008353BF">
        <w:rPr>
          <w:rStyle w:val="Strong"/>
          <w:lang w:val="en-AU"/>
        </w:rPr>
        <w:t>W</w:t>
      </w:r>
      <w:r w:rsidRPr="008353BF">
        <w:rPr>
          <w:lang w:val="en-AU"/>
        </w:rPr>
        <w:t xml:space="preserve"> </w:t>
      </w:r>
      <w:r w:rsidR="00C01DA6" w:rsidRPr="008353BF">
        <w:rPr>
          <w:lang w:val="en-AU"/>
        </w:rPr>
        <w:tab/>
      </w:r>
      <w:hyperlink r:id="rId18" w:history="1">
        <w:r w:rsidRPr="008353BF">
          <w:rPr>
            <w:rStyle w:val="Hyperlink"/>
            <w:lang w:val="en-AU"/>
          </w:rPr>
          <w:t>whittlesea.vic.gov.au/agriculture</w:t>
        </w:r>
      </w:hyperlink>
    </w:p>
    <w:p w14:paraId="4AB89462" w14:textId="4793D821" w:rsidR="009B1CD2" w:rsidRPr="008353BF" w:rsidRDefault="00EA3F00" w:rsidP="00C01DA6">
      <w:pPr>
        <w:tabs>
          <w:tab w:val="left" w:pos="567"/>
        </w:tabs>
        <w:rPr>
          <w:lang w:val="en-AU"/>
        </w:rPr>
      </w:pPr>
      <w:r w:rsidRPr="008353BF">
        <w:rPr>
          <w:rStyle w:val="Strong"/>
          <w:lang w:val="en-AU"/>
        </w:rPr>
        <w:t>LinkedIn</w:t>
      </w:r>
      <w:r w:rsidRPr="008353BF">
        <w:rPr>
          <w:lang w:val="en-AU"/>
        </w:rPr>
        <w:t xml:space="preserve"> </w:t>
      </w:r>
      <w:r w:rsidR="00C01DA6" w:rsidRPr="008353BF">
        <w:rPr>
          <w:lang w:val="en-AU"/>
        </w:rPr>
        <w:tab/>
      </w:r>
      <w:hyperlink r:id="rId19" w:history="1">
        <w:r w:rsidRPr="008353BF">
          <w:rPr>
            <w:rStyle w:val="Hyperlink"/>
            <w:lang w:val="en-AU"/>
          </w:rPr>
          <w:t>linkedin.com/company/city-of-whittlesea</w:t>
        </w:r>
      </w:hyperlink>
    </w:p>
    <w:sectPr w:rsidR="009B1CD2" w:rsidRPr="008353BF" w:rsidSect="00357DEB">
      <w:footerReference w:type="default" r:id="rId20"/>
      <w:pgSz w:w="11906" w:h="16838" w:code="9"/>
      <w:pgMar w:top="1440" w:right="1440" w:bottom="1440" w:left="1440" w:header="709" w:footer="709" w:gutter="0"/>
      <w:cols w:space="708"/>
      <w:vAlign w:val="bottom"/>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52E41E" w14:textId="77777777" w:rsidR="00B00448" w:rsidRDefault="00B00448" w:rsidP="001A2B8D">
      <w:pPr>
        <w:spacing w:after="0" w:line="240" w:lineRule="auto"/>
      </w:pPr>
      <w:r>
        <w:separator/>
      </w:r>
    </w:p>
  </w:endnote>
  <w:endnote w:type="continuationSeparator" w:id="0">
    <w:p w14:paraId="0AA12CCF" w14:textId="77777777" w:rsidR="00B00448" w:rsidRDefault="00B00448" w:rsidP="001A2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Bold">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Light">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31E2D" w14:textId="62FBCC9A" w:rsidR="00733695" w:rsidRDefault="00507B83" w:rsidP="00733695">
    <w:pPr>
      <w:pStyle w:val="Footer"/>
      <w:pBdr>
        <w:top w:val="single" w:sz="4" w:space="1" w:color="D9D9D9" w:themeColor="background1" w:themeShade="D9"/>
      </w:pBdr>
      <w:jc w:val="right"/>
      <w:rPr>
        <w:color w:val="7F7F7F" w:themeColor="background1" w:themeShade="7F"/>
        <w:spacing w:val="60"/>
        <w:sz w:val="32"/>
        <w:szCs w:val="28"/>
      </w:rPr>
    </w:pPr>
    <w:sdt>
      <w:sdtPr>
        <w:id w:val="1664736363"/>
        <w:docPartObj>
          <w:docPartGallery w:val="Page Numbers (Bottom of Page)"/>
          <w:docPartUnique/>
        </w:docPartObj>
      </w:sdtPr>
      <w:sdtEndPr>
        <w:rPr>
          <w:color w:val="7F7F7F" w:themeColor="background1" w:themeShade="7F"/>
          <w:spacing w:val="60"/>
          <w:sz w:val="32"/>
          <w:szCs w:val="28"/>
        </w:rPr>
      </w:sdtEndPr>
      <w:sdtContent>
        <w:r w:rsidR="00733695" w:rsidRPr="00733695">
          <w:rPr>
            <w:sz w:val="32"/>
            <w:szCs w:val="28"/>
          </w:rPr>
          <w:t>|</w:t>
        </w:r>
        <w:r w:rsidR="00733695">
          <w:rPr>
            <w:sz w:val="32"/>
            <w:szCs w:val="28"/>
          </w:rPr>
          <w:t xml:space="preserve"> </w:t>
        </w:r>
        <w:r w:rsidR="00733695" w:rsidRPr="00733695">
          <w:rPr>
            <w:sz w:val="32"/>
            <w:szCs w:val="28"/>
          </w:rPr>
          <w:fldChar w:fldCharType="begin"/>
        </w:r>
        <w:r w:rsidR="00733695" w:rsidRPr="00733695">
          <w:rPr>
            <w:sz w:val="32"/>
            <w:szCs w:val="28"/>
          </w:rPr>
          <w:instrText xml:space="preserve"> PAGE   \* MERGEFORMAT </w:instrText>
        </w:r>
        <w:r w:rsidR="00733695" w:rsidRPr="00733695">
          <w:rPr>
            <w:sz w:val="32"/>
            <w:szCs w:val="28"/>
          </w:rPr>
          <w:fldChar w:fldCharType="separate"/>
        </w:r>
        <w:r w:rsidR="00733695">
          <w:rPr>
            <w:sz w:val="32"/>
            <w:szCs w:val="28"/>
          </w:rPr>
          <w:t>7</w:t>
        </w:r>
        <w:r w:rsidR="00733695" w:rsidRPr="00733695">
          <w:rPr>
            <w:noProof/>
            <w:sz w:val="32"/>
            <w:szCs w:val="28"/>
          </w:rPr>
          <w:fldChar w:fldCharType="end"/>
        </w:r>
      </w:sdtContent>
    </w:sdt>
    <w:r w:rsidR="00733695" w:rsidRPr="00733695">
      <w:rPr>
        <w:sz w:val="32"/>
        <w:szCs w:val="2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D14158" w14:textId="4E70308C" w:rsidR="00733695" w:rsidRPr="00733695" w:rsidRDefault="00507B83" w:rsidP="00733695">
    <w:pPr>
      <w:pStyle w:val="Footer"/>
      <w:pBdr>
        <w:top w:val="single" w:sz="4" w:space="1" w:color="D9D9D9" w:themeColor="background1" w:themeShade="D9"/>
      </w:pBdr>
      <w:jc w:val="left"/>
      <w:rPr>
        <w:color w:val="7F7F7F" w:themeColor="background1" w:themeShade="7F"/>
        <w:spacing w:val="60"/>
        <w:sz w:val="32"/>
        <w:szCs w:val="28"/>
      </w:rPr>
    </w:pPr>
    <w:sdt>
      <w:sdtPr>
        <w:id w:val="-1225143683"/>
        <w:docPartObj>
          <w:docPartGallery w:val="Page Numbers (Bottom of Page)"/>
          <w:docPartUnique/>
        </w:docPartObj>
      </w:sdtPr>
      <w:sdtEndPr>
        <w:rPr>
          <w:color w:val="7F7F7F" w:themeColor="background1" w:themeShade="7F"/>
          <w:spacing w:val="60"/>
          <w:sz w:val="32"/>
          <w:szCs w:val="28"/>
        </w:rPr>
      </w:sdtEndPr>
      <w:sdtContent>
        <w:r w:rsidR="00733695" w:rsidRPr="00733695">
          <w:rPr>
            <w:sz w:val="32"/>
            <w:szCs w:val="28"/>
          </w:rPr>
          <w:fldChar w:fldCharType="begin"/>
        </w:r>
        <w:r w:rsidR="00733695" w:rsidRPr="00733695">
          <w:rPr>
            <w:sz w:val="32"/>
            <w:szCs w:val="28"/>
          </w:rPr>
          <w:instrText xml:space="preserve"> PAGE   \* MERGEFORMAT </w:instrText>
        </w:r>
        <w:r w:rsidR="00733695" w:rsidRPr="00733695">
          <w:rPr>
            <w:sz w:val="32"/>
            <w:szCs w:val="28"/>
          </w:rPr>
          <w:fldChar w:fldCharType="separate"/>
        </w:r>
        <w:r w:rsidR="00733695">
          <w:rPr>
            <w:sz w:val="32"/>
            <w:szCs w:val="28"/>
          </w:rPr>
          <w:t>2</w:t>
        </w:r>
        <w:r w:rsidR="00733695" w:rsidRPr="00733695">
          <w:rPr>
            <w:noProof/>
            <w:sz w:val="32"/>
            <w:szCs w:val="28"/>
          </w:rPr>
          <w:fldChar w:fldCharType="end"/>
        </w:r>
        <w:r w:rsidR="00733695" w:rsidRPr="00733695">
          <w:rPr>
            <w:sz w:val="32"/>
            <w:szCs w:val="28"/>
          </w:rPr>
          <w:t xml:space="preserve"> </w:t>
        </w:r>
      </w:sdtContent>
    </w:sdt>
    <w:r w:rsidR="00733695" w:rsidRPr="00733695">
      <w:rPr>
        <w:sz w:val="32"/>
        <w:szCs w:val="28"/>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1951F" w14:textId="77777777" w:rsidR="001A2B8D" w:rsidRPr="001A2B8D" w:rsidRDefault="001A2B8D" w:rsidP="001A2B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ECA1C2" w14:textId="77777777" w:rsidR="00B00448" w:rsidRDefault="00B00448" w:rsidP="001A2B8D">
      <w:pPr>
        <w:spacing w:after="0" w:line="240" w:lineRule="auto"/>
      </w:pPr>
      <w:r>
        <w:separator/>
      </w:r>
    </w:p>
  </w:footnote>
  <w:footnote w:type="continuationSeparator" w:id="0">
    <w:p w14:paraId="596F7BA2" w14:textId="77777777" w:rsidR="00B00448" w:rsidRDefault="00B00448" w:rsidP="001A2B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210AC"/>
    <w:multiLevelType w:val="hybridMultilevel"/>
    <w:tmpl w:val="B1605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7376CC"/>
    <w:multiLevelType w:val="hybridMultilevel"/>
    <w:tmpl w:val="8A601B6A"/>
    <w:lvl w:ilvl="0" w:tplc="92400EE6">
      <w:start w:val="5"/>
      <w:numFmt w:val="bullet"/>
      <w:pStyle w:val="ListParagraph"/>
      <w:lvlText w:val="•"/>
      <w:lvlJc w:val="left"/>
      <w:pPr>
        <w:ind w:left="360" w:hanging="360"/>
      </w:pPr>
      <w:rPr>
        <w:rFonts w:hint="default"/>
        <w:b w:val="0"/>
        <w:bCs w:val="0"/>
        <w:i w:val="0"/>
        <w:iCs w:val="0"/>
        <w:caps w:val="0"/>
        <w:smallCaps w:val="0"/>
        <w:strike w:val="0"/>
        <w:dstrike w:val="0"/>
        <w:outline w:val="0"/>
        <w:shadow w:val="0"/>
        <w:emboss w:val="0"/>
        <w:imprint w:val="0"/>
        <w:noProof w:val="0"/>
        <w:vanish w:val="0"/>
        <w:color w:val="00706C"/>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6A7034"/>
    <w:multiLevelType w:val="hybridMultilevel"/>
    <w:tmpl w:val="78688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736C6C"/>
    <w:multiLevelType w:val="hybridMultilevel"/>
    <w:tmpl w:val="95EE617A"/>
    <w:lvl w:ilvl="0" w:tplc="E318CFF8">
      <w:start w:val="1"/>
      <w:numFmt w:val="decimal"/>
      <w:lvlText w:val="%1."/>
      <w:lvlJc w:val="left"/>
      <w:pPr>
        <w:ind w:left="720" w:hanging="360"/>
      </w:pPr>
      <w:rPr>
        <w:color w:val="00706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57441C"/>
    <w:multiLevelType w:val="hybridMultilevel"/>
    <w:tmpl w:val="BB9E41E0"/>
    <w:lvl w:ilvl="0" w:tplc="41C203F8">
      <w:start w:val="1"/>
      <w:numFmt w:val="decimal"/>
      <w:lvlText w:val="%1."/>
      <w:lvlJc w:val="left"/>
      <w:pPr>
        <w:ind w:left="720" w:hanging="360"/>
      </w:pPr>
      <w:rPr>
        <w:rFonts w:ascii="Calibri-Bold" w:hAnsi="Calibri-Bold" w:cs="Calibri-Bold" w:hint="default"/>
        <w:b/>
        <w:color w:val="00DA6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66118C"/>
    <w:multiLevelType w:val="hybridMultilevel"/>
    <w:tmpl w:val="D8FCC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D0048F"/>
    <w:multiLevelType w:val="hybridMultilevel"/>
    <w:tmpl w:val="A31E5BF8"/>
    <w:lvl w:ilvl="0" w:tplc="91446104">
      <w:start w:val="1"/>
      <w:numFmt w:val="decimal"/>
      <w:pStyle w:val="ListParagraphNumbered"/>
      <w:lvlText w:val="%1."/>
      <w:lvlJc w:val="left"/>
      <w:pPr>
        <w:ind w:left="720" w:hanging="360"/>
      </w:pPr>
      <w:rPr>
        <w:rFonts w:ascii="Calibri-Bold" w:hAnsi="Calibri-Bold" w:cs="Calibri-Bold" w:hint="default"/>
        <w:b/>
        <w:bCs w:val="0"/>
        <w:i w:val="0"/>
        <w:iCs w:val="0"/>
        <w:caps w:val="0"/>
        <w:smallCaps w:val="0"/>
        <w:strike w:val="0"/>
        <w:dstrike w:val="0"/>
        <w:outline w:val="0"/>
        <w:shadow w:val="0"/>
        <w:emboss w:val="0"/>
        <w:imprint w:val="0"/>
        <w:noProof w:val="0"/>
        <w:vanish w:val="0"/>
        <w:color w:val="00706C"/>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evenAndOddHeaders/>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6F1"/>
    <w:rsid w:val="00074DB0"/>
    <w:rsid w:val="0019086E"/>
    <w:rsid w:val="001A2B8D"/>
    <w:rsid w:val="001F11F0"/>
    <w:rsid w:val="0021281D"/>
    <w:rsid w:val="00215A88"/>
    <w:rsid w:val="0033272D"/>
    <w:rsid w:val="00357DEB"/>
    <w:rsid w:val="003D0AAF"/>
    <w:rsid w:val="004E310A"/>
    <w:rsid w:val="00507B83"/>
    <w:rsid w:val="006D46AE"/>
    <w:rsid w:val="00733695"/>
    <w:rsid w:val="00750D77"/>
    <w:rsid w:val="007C0725"/>
    <w:rsid w:val="008353BF"/>
    <w:rsid w:val="009B1CD2"/>
    <w:rsid w:val="00A32135"/>
    <w:rsid w:val="00A506F1"/>
    <w:rsid w:val="00A55C0F"/>
    <w:rsid w:val="00AE341F"/>
    <w:rsid w:val="00B00448"/>
    <w:rsid w:val="00B24605"/>
    <w:rsid w:val="00B839E7"/>
    <w:rsid w:val="00C01DA6"/>
    <w:rsid w:val="00C67A31"/>
    <w:rsid w:val="00CB043D"/>
    <w:rsid w:val="00EA3F00"/>
    <w:rsid w:val="00F723C0"/>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1CB2AC4"/>
  <w15:chartTrackingRefBased/>
  <w15:docId w15:val="{ADADB15D-E3CC-43D9-9B05-82B837A12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zh-CN"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D46AE"/>
    <w:pPr>
      <w:spacing w:after="160" w:line="259" w:lineRule="auto"/>
      <w:jc w:val="both"/>
    </w:pPr>
    <w:rPr>
      <w:rFonts w:eastAsiaTheme="minorHAnsi"/>
      <w:sz w:val="24"/>
      <w:lang w:val="en-US" w:eastAsia="en-US"/>
    </w:rPr>
  </w:style>
  <w:style w:type="paragraph" w:styleId="Heading1">
    <w:name w:val="heading 1"/>
    <w:basedOn w:val="Normal"/>
    <w:next w:val="Normal"/>
    <w:link w:val="Heading1Char"/>
    <w:uiPriority w:val="9"/>
    <w:qFormat/>
    <w:rsid w:val="003D0AAF"/>
    <w:pPr>
      <w:keepNext/>
      <w:keepLines/>
      <w:pageBreakBefore/>
      <w:spacing w:before="240" w:after="240"/>
      <w:outlineLvl w:val="0"/>
    </w:pPr>
    <w:rPr>
      <w:rFonts w:eastAsiaTheme="majorEastAsia" w:cstheme="minorHAnsi"/>
      <w:bCs/>
      <w:sz w:val="56"/>
      <w:szCs w:val="56"/>
      <w:lang w:val="en-AU" w:eastAsia="zh-CN"/>
    </w:rPr>
  </w:style>
  <w:style w:type="paragraph" w:styleId="Heading2">
    <w:name w:val="heading 2"/>
    <w:basedOn w:val="Normal"/>
    <w:next w:val="Normal"/>
    <w:link w:val="Heading2Char"/>
    <w:uiPriority w:val="9"/>
    <w:unhideWhenUsed/>
    <w:qFormat/>
    <w:rsid w:val="003D0AAF"/>
    <w:pPr>
      <w:keepNext/>
      <w:keepLines/>
      <w:spacing w:before="240" w:after="240"/>
      <w:outlineLvl w:val="1"/>
    </w:pPr>
    <w:rPr>
      <w:b/>
      <w:bCs/>
      <w:sz w:val="28"/>
      <w:szCs w:val="26"/>
      <w:lang w:val="en-AU" w:eastAsia="zh-CN"/>
    </w:rPr>
  </w:style>
  <w:style w:type="paragraph" w:styleId="Heading3">
    <w:name w:val="heading 3"/>
    <w:basedOn w:val="Normal"/>
    <w:next w:val="Normal"/>
    <w:link w:val="Heading3Char"/>
    <w:uiPriority w:val="9"/>
    <w:unhideWhenUsed/>
    <w:qFormat/>
    <w:rsid w:val="007C0725"/>
    <w:pPr>
      <w:spacing w:after="120"/>
      <w:outlineLvl w:val="2"/>
    </w:pPr>
    <w:rPr>
      <w:b/>
      <w:bCs/>
      <w:sz w:val="28"/>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5A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5A88"/>
    <w:rPr>
      <w:rFonts w:ascii="Segoe UI" w:eastAsiaTheme="minorHAnsi" w:hAnsi="Segoe UI" w:cs="Segoe UI"/>
      <w:sz w:val="18"/>
      <w:szCs w:val="18"/>
      <w:lang w:val="en-US" w:eastAsia="en-US"/>
    </w:rPr>
  </w:style>
  <w:style w:type="paragraph" w:customStyle="1" w:styleId="Blockquote">
    <w:name w:val="Blockquote"/>
    <w:basedOn w:val="Normal"/>
    <w:qFormat/>
    <w:rsid w:val="00215A88"/>
    <w:pPr>
      <w:pBdr>
        <w:top w:val="single" w:sz="24" w:space="5" w:color="365F91" w:themeColor="accent1" w:themeShade="BF"/>
        <w:bottom w:val="single" w:sz="24" w:space="5" w:color="365F91" w:themeColor="accent1" w:themeShade="BF"/>
      </w:pBdr>
      <w:jc w:val="center"/>
    </w:pPr>
    <w:rPr>
      <w:i/>
      <w:iCs/>
      <w:color w:val="365F91" w:themeColor="accent1" w:themeShade="BF"/>
      <w:szCs w:val="24"/>
    </w:rPr>
  </w:style>
  <w:style w:type="paragraph" w:styleId="Caption">
    <w:name w:val="caption"/>
    <w:basedOn w:val="Normal"/>
    <w:next w:val="Normal"/>
    <w:uiPriority w:val="35"/>
    <w:unhideWhenUsed/>
    <w:qFormat/>
    <w:rsid w:val="003D0AAF"/>
    <w:pPr>
      <w:keepNext/>
      <w:keepLines/>
      <w:spacing w:before="240" w:after="200" w:line="240" w:lineRule="auto"/>
      <w:jc w:val="center"/>
    </w:pPr>
    <w:rPr>
      <w:b/>
      <w:bCs/>
      <w:iCs/>
      <w:color w:val="6B553D"/>
      <w:szCs w:val="18"/>
      <w:lang w:val="en-AU" w:eastAsia="zh-CN"/>
    </w:rPr>
  </w:style>
  <w:style w:type="character" w:styleId="CommentReference">
    <w:name w:val="annotation reference"/>
    <w:basedOn w:val="DefaultParagraphFont"/>
    <w:uiPriority w:val="99"/>
    <w:semiHidden/>
    <w:unhideWhenUsed/>
    <w:rsid w:val="00215A88"/>
    <w:rPr>
      <w:sz w:val="16"/>
      <w:szCs w:val="16"/>
    </w:rPr>
  </w:style>
  <w:style w:type="paragraph" w:styleId="CommentText">
    <w:name w:val="annotation text"/>
    <w:basedOn w:val="Normal"/>
    <w:link w:val="CommentTextChar"/>
    <w:uiPriority w:val="99"/>
    <w:semiHidden/>
    <w:unhideWhenUsed/>
    <w:rsid w:val="00215A88"/>
    <w:pPr>
      <w:spacing w:line="240" w:lineRule="auto"/>
    </w:pPr>
    <w:rPr>
      <w:sz w:val="20"/>
      <w:szCs w:val="20"/>
    </w:rPr>
  </w:style>
  <w:style w:type="character" w:customStyle="1" w:styleId="CommentTextChar">
    <w:name w:val="Comment Text Char"/>
    <w:basedOn w:val="DefaultParagraphFont"/>
    <w:link w:val="CommentText"/>
    <w:uiPriority w:val="99"/>
    <w:semiHidden/>
    <w:rsid w:val="00215A88"/>
    <w:rPr>
      <w:rFonts w:eastAsiaTheme="minorHAnsi"/>
      <w:sz w:val="20"/>
      <w:szCs w:val="20"/>
      <w:lang w:val="en-US" w:eastAsia="en-US"/>
    </w:rPr>
  </w:style>
  <w:style w:type="paragraph" w:styleId="CommentSubject">
    <w:name w:val="annotation subject"/>
    <w:basedOn w:val="CommentText"/>
    <w:next w:val="CommentText"/>
    <w:link w:val="CommentSubjectChar"/>
    <w:uiPriority w:val="99"/>
    <w:semiHidden/>
    <w:unhideWhenUsed/>
    <w:rsid w:val="00215A88"/>
    <w:rPr>
      <w:b/>
      <w:bCs/>
    </w:rPr>
  </w:style>
  <w:style w:type="character" w:customStyle="1" w:styleId="CommentSubjectChar">
    <w:name w:val="Comment Subject Char"/>
    <w:basedOn w:val="CommentTextChar"/>
    <w:link w:val="CommentSubject"/>
    <w:uiPriority w:val="99"/>
    <w:semiHidden/>
    <w:rsid w:val="00215A88"/>
    <w:rPr>
      <w:rFonts w:eastAsiaTheme="minorHAnsi"/>
      <w:b/>
      <w:bCs/>
      <w:sz w:val="20"/>
      <w:szCs w:val="20"/>
      <w:lang w:val="en-US" w:eastAsia="en-US"/>
    </w:rPr>
  </w:style>
  <w:style w:type="character" w:styleId="FollowedHyperlink">
    <w:name w:val="FollowedHyperlink"/>
    <w:basedOn w:val="DefaultParagraphFont"/>
    <w:uiPriority w:val="99"/>
    <w:semiHidden/>
    <w:unhideWhenUsed/>
    <w:rsid w:val="00215A88"/>
    <w:rPr>
      <w:color w:val="800080" w:themeColor="followedHyperlink"/>
      <w:u w:val="single"/>
    </w:rPr>
  </w:style>
  <w:style w:type="paragraph" w:styleId="Footer">
    <w:name w:val="footer"/>
    <w:basedOn w:val="Normal"/>
    <w:link w:val="FooterChar"/>
    <w:uiPriority w:val="99"/>
    <w:unhideWhenUsed/>
    <w:rsid w:val="00215A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5A88"/>
    <w:rPr>
      <w:rFonts w:eastAsiaTheme="minorHAnsi"/>
      <w:lang w:val="en-US" w:eastAsia="en-US"/>
    </w:rPr>
  </w:style>
  <w:style w:type="character" w:styleId="FootnoteReference">
    <w:name w:val="footnote reference"/>
    <w:basedOn w:val="DefaultParagraphFont"/>
    <w:uiPriority w:val="99"/>
    <w:semiHidden/>
    <w:unhideWhenUsed/>
    <w:rsid w:val="00215A88"/>
    <w:rPr>
      <w:vertAlign w:val="superscript"/>
    </w:rPr>
  </w:style>
  <w:style w:type="paragraph" w:styleId="FootnoteText">
    <w:name w:val="footnote text"/>
    <w:basedOn w:val="Normal"/>
    <w:link w:val="FootnoteTextChar"/>
    <w:uiPriority w:val="99"/>
    <w:unhideWhenUsed/>
    <w:rsid w:val="00215A88"/>
    <w:pPr>
      <w:spacing w:after="0" w:line="240" w:lineRule="auto"/>
    </w:pPr>
    <w:rPr>
      <w:sz w:val="20"/>
      <w:szCs w:val="20"/>
    </w:rPr>
  </w:style>
  <w:style w:type="character" w:customStyle="1" w:styleId="FootnoteTextChar">
    <w:name w:val="Footnote Text Char"/>
    <w:basedOn w:val="DefaultParagraphFont"/>
    <w:link w:val="FootnoteText"/>
    <w:uiPriority w:val="99"/>
    <w:rsid w:val="00215A88"/>
    <w:rPr>
      <w:rFonts w:eastAsiaTheme="minorHAnsi"/>
      <w:sz w:val="20"/>
      <w:szCs w:val="20"/>
      <w:lang w:val="en-US" w:eastAsia="en-US"/>
    </w:rPr>
  </w:style>
  <w:style w:type="table" w:styleId="GridTable4-Accent1">
    <w:name w:val="Grid Table 4 Accent 1"/>
    <w:basedOn w:val="TableNormal"/>
    <w:uiPriority w:val="49"/>
    <w:rsid w:val="00215A88"/>
    <w:pPr>
      <w:spacing w:after="0" w:line="240" w:lineRule="auto"/>
    </w:pPr>
    <w:rPr>
      <w:rFonts w:eastAsiaTheme="minorHAnsi"/>
      <w:lang w:val="en-US"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Header">
    <w:name w:val="header"/>
    <w:basedOn w:val="Normal"/>
    <w:link w:val="HeaderChar"/>
    <w:uiPriority w:val="99"/>
    <w:unhideWhenUsed/>
    <w:rsid w:val="00215A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5A88"/>
    <w:rPr>
      <w:rFonts w:eastAsiaTheme="minorHAnsi"/>
      <w:lang w:val="en-US" w:eastAsia="en-US"/>
    </w:rPr>
  </w:style>
  <w:style w:type="character" w:customStyle="1" w:styleId="Heading1Char">
    <w:name w:val="Heading 1 Char"/>
    <w:basedOn w:val="DefaultParagraphFont"/>
    <w:link w:val="Heading1"/>
    <w:uiPriority w:val="9"/>
    <w:rsid w:val="003D0AAF"/>
    <w:rPr>
      <w:rFonts w:eastAsiaTheme="majorEastAsia" w:cstheme="minorHAnsi"/>
      <w:bCs/>
      <w:sz w:val="56"/>
      <w:szCs w:val="56"/>
      <w:lang w:val="en-AU"/>
    </w:rPr>
  </w:style>
  <w:style w:type="character" w:customStyle="1" w:styleId="Heading2Char">
    <w:name w:val="Heading 2 Char"/>
    <w:basedOn w:val="DefaultParagraphFont"/>
    <w:link w:val="Heading2"/>
    <w:uiPriority w:val="9"/>
    <w:rsid w:val="003D0AAF"/>
    <w:rPr>
      <w:rFonts w:eastAsiaTheme="minorHAnsi"/>
      <w:b/>
      <w:bCs/>
      <w:sz w:val="28"/>
      <w:szCs w:val="26"/>
      <w:lang w:val="en-AU"/>
    </w:rPr>
  </w:style>
  <w:style w:type="character" w:customStyle="1" w:styleId="Heading3Char">
    <w:name w:val="Heading 3 Char"/>
    <w:basedOn w:val="DefaultParagraphFont"/>
    <w:link w:val="Heading3"/>
    <w:uiPriority w:val="9"/>
    <w:rsid w:val="007C0725"/>
    <w:rPr>
      <w:rFonts w:eastAsiaTheme="minorHAnsi"/>
      <w:b/>
      <w:bCs/>
      <w:sz w:val="28"/>
      <w:szCs w:val="24"/>
      <w:lang w:val="en-US"/>
    </w:rPr>
  </w:style>
  <w:style w:type="character" w:styleId="Hyperlink">
    <w:name w:val="Hyperlink"/>
    <w:basedOn w:val="DefaultParagraphFont"/>
    <w:uiPriority w:val="99"/>
    <w:unhideWhenUsed/>
    <w:rsid w:val="00C01DA6"/>
    <w:rPr>
      <w:b w:val="0"/>
      <w:color w:val="auto"/>
      <w:u w:val="single"/>
    </w:rPr>
  </w:style>
  <w:style w:type="paragraph" w:styleId="IntenseQuote">
    <w:name w:val="Intense Quote"/>
    <w:basedOn w:val="Normal"/>
    <w:next w:val="Normal"/>
    <w:link w:val="IntenseQuoteChar"/>
    <w:uiPriority w:val="30"/>
    <w:qFormat/>
    <w:rsid w:val="00215A88"/>
    <w:pPr>
      <w:pBdr>
        <w:top w:val="single" w:sz="4" w:space="10" w:color="4F81BD" w:themeColor="accent1"/>
        <w:bottom w:val="single" w:sz="4" w:space="10" w:color="4F81BD" w:themeColor="accent1"/>
      </w:pBdr>
      <w:spacing w:before="120" w:after="120"/>
      <w:ind w:left="2160" w:right="2160"/>
      <w:jc w:val="center"/>
    </w:pPr>
    <w:rPr>
      <w:i/>
      <w:iCs/>
      <w:color w:val="4F81BD" w:themeColor="accent1"/>
    </w:rPr>
  </w:style>
  <w:style w:type="character" w:customStyle="1" w:styleId="IntenseQuoteChar">
    <w:name w:val="Intense Quote Char"/>
    <w:basedOn w:val="DefaultParagraphFont"/>
    <w:link w:val="IntenseQuote"/>
    <w:uiPriority w:val="30"/>
    <w:rsid w:val="00215A88"/>
    <w:rPr>
      <w:rFonts w:eastAsiaTheme="minorHAnsi"/>
      <w:i/>
      <w:iCs/>
      <w:color w:val="4F81BD" w:themeColor="accent1"/>
      <w:lang w:val="en-US" w:eastAsia="en-US"/>
    </w:rPr>
  </w:style>
  <w:style w:type="paragraph" w:styleId="ListParagraph">
    <w:name w:val="List Paragraph"/>
    <w:basedOn w:val="Normal"/>
    <w:uiPriority w:val="34"/>
    <w:qFormat/>
    <w:rsid w:val="00074DB0"/>
    <w:pPr>
      <w:numPr>
        <w:numId w:val="4"/>
      </w:numPr>
      <w:spacing w:line="252" w:lineRule="auto"/>
    </w:pPr>
    <w:rPr>
      <w:rFonts w:ascii="Calibri" w:hAnsi="Calibri" w:cs="Calibri"/>
      <w:szCs w:val="24"/>
      <w:lang w:eastAsia="zh-CN"/>
    </w:rPr>
  </w:style>
  <w:style w:type="paragraph" w:styleId="NoSpacing">
    <w:name w:val="No Spacing"/>
    <w:link w:val="NoSpacingChar"/>
    <w:uiPriority w:val="1"/>
    <w:qFormat/>
    <w:rsid w:val="00215A88"/>
    <w:pPr>
      <w:spacing w:after="0" w:line="240" w:lineRule="auto"/>
    </w:pPr>
    <w:rPr>
      <w:lang w:val="en-US" w:eastAsia="en-US"/>
    </w:rPr>
  </w:style>
  <w:style w:type="character" w:customStyle="1" w:styleId="NoSpacingChar">
    <w:name w:val="No Spacing Char"/>
    <w:basedOn w:val="DefaultParagraphFont"/>
    <w:link w:val="NoSpacing"/>
    <w:uiPriority w:val="1"/>
    <w:rsid w:val="00215A88"/>
    <w:rPr>
      <w:lang w:val="en-US" w:eastAsia="en-US"/>
    </w:rPr>
  </w:style>
  <w:style w:type="paragraph" w:styleId="NormalWeb">
    <w:name w:val="Normal (Web)"/>
    <w:basedOn w:val="Normal"/>
    <w:uiPriority w:val="99"/>
    <w:semiHidden/>
    <w:unhideWhenUsed/>
    <w:rsid w:val="00215A88"/>
    <w:pPr>
      <w:spacing w:before="100" w:beforeAutospacing="1" w:after="100" w:afterAutospacing="1" w:line="240" w:lineRule="auto"/>
    </w:pPr>
    <w:rPr>
      <w:rFonts w:ascii="Times New Roman" w:eastAsia="Times New Roman" w:hAnsi="Times New Roman" w:cs="Times New Roman"/>
      <w:szCs w:val="24"/>
    </w:rPr>
  </w:style>
  <w:style w:type="paragraph" w:styleId="Subtitle">
    <w:name w:val="Subtitle"/>
    <w:basedOn w:val="Normal"/>
    <w:next w:val="Normal"/>
    <w:link w:val="SubtitleChar"/>
    <w:uiPriority w:val="11"/>
    <w:qFormat/>
    <w:rsid w:val="00A506F1"/>
    <w:pPr>
      <w:numPr>
        <w:ilvl w:val="1"/>
      </w:numPr>
      <w:spacing w:before="360" w:after="240"/>
    </w:pPr>
    <w:rPr>
      <w:rFonts w:eastAsiaTheme="minorEastAsia"/>
      <w:spacing w:val="15"/>
      <w:sz w:val="36"/>
      <w:szCs w:val="36"/>
      <w:lang w:eastAsia="zh-CN"/>
    </w:rPr>
  </w:style>
  <w:style w:type="character" w:customStyle="1" w:styleId="SubtitleChar">
    <w:name w:val="Subtitle Char"/>
    <w:basedOn w:val="DefaultParagraphFont"/>
    <w:link w:val="Subtitle"/>
    <w:uiPriority w:val="11"/>
    <w:rsid w:val="00A506F1"/>
    <w:rPr>
      <w:spacing w:val="15"/>
      <w:sz w:val="36"/>
      <w:szCs w:val="36"/>
      <w:lang w:val="en-US"/>
    </w:rPr>
  </w:style>
  <w:style w:type="table" w:styleId="TableGrid">
    <w:name w:val="Table Grid"/>
    <w:basedOn w:val="TableNormal"/>
    <w:uiPriority w:val="39"/>
    <w:rsid w:val="00215A88"/>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A506F1"/>
    <w:pPr>
      <w:spacing w:before="6840" w:after="0" w:line="240" w:lineRule="auto"/>
      <w:contextualSpacing/>
    </w:pPr>
    <w:rPr>
      <w:rFonts w:eastAsiaTheme="majorEastAsia" w:cstheme="majorBidi"/>
      <w:spacing w:val="-10"/>
      <w:kern w:val="28"/>
      <w:sz w:val="120"/>
      <w:szCs w:val="120"/>
      <w:lang w:val="en-AU" w:eastAsia="zh-CN"/>
    </w:rPr>
  </w:style>
  <w:style w:type="character" w:customStyle="1" w:styleId="TitleChar">
    <w:name w:val="Title Char"/>
    <w:basedOn w:val="DefaultParagraphFont"/>
    <w:link w:val="Title"/>
    <w:uiPriority w:val="10"/>
    <w:rsid w:val="00A506F1"/>
    <w:rPr>
      <w:rFonts w:eastAsiaTheme="majorEastAsia" w:cstheme="majorBidi"/>
      <w:spacing w:val="-10"/>
      <w:kern w:val="28"/>
      <w:sz w:val="120"/>
      <w:szCs w:val="120"/>
      <w:lang w:val="en-AU"/>
    </w:rPr>
  </w:style>
  <w:style w:type="paragraph" w:customStyle="1" w:styleId="Title2">
    <w:name w:val="Title 2"/>
    <w:basedOn w:val="Title"/>
    <w:qFormat/>
    <w:rsid w:val="00215A88"/>
    <w:pPr>
      <w:spacing w:after="240"/>
    </w:pPr>
  </w:style>
  <w:style w:type="paragraph" w:styleId="TOC1">
    <w:name w:val="toc 1"/>
    <w:basedOn w:val="Normal"/>
    <w:next w:val="Normal"/>
    <w:autoRedefine/>
    <w:uiPriority w:val="39"/>
    <w:unhideWhenUsed/>
    <w:rsid w:val="00A32135"/>
    <w:pPr>
      <w:tabs>
        <w:tab w:val="right" w:pos="4536"/>
      </w:tabs>
      <w:spacing w:after="100"/>
      <w:ind w:right="4490"/>
    </w:pPr>
    <w:rPr>
      <w:noProof/>
      <w:sz w:val="32"/>
      <w:szCs w:val="28"/>
    </w:rPr>
  </w:style>
  <w:style w:type="paragraph" w:styleId="TOC2">
    <w:name w:val="toc 2"/>
    <w:basedOn w:val="Normal"/>
    <w:next w:val="Normal"/>
    <w:autoRedefine/>
    <w:uiPriority w:val="39"/>
    <w:unhideWhenUsed/>
    <w:rsid w:val="00215A88"/>
    <w:pPr>
      <w:spacing w:after="100"/>
      <w:ind w:left="220"/>
    </w:pPr>
  </w:style>
  <w:style w:type="paragraph" w:styleId="TOCHeading">
    <w:name w:val="TOC Heading"/>
    <w:basedOn w:val="Heading1"/>
    <w:next w:val="Normal"/>
    <w:uiPriority w:val="39"/>
    <w:unhideWhenUsed/>
    <w:qFormat/>
    <w:rsid w:val="00215A88"/>
    <w:pPr>
      <w:spacing w:after="0"/>
      <w:jc w:val="left"/>
      <w:outlineLvl w:val="9"/>
    </w:pPr>
    <w:rPr>
      <w:b/>
      <w:color w:val="365F91" w:themeColor="accent1" w:themeShade="BF"/>
      <w:sz w:val="32"/>
      <w:szCs w:val="32"/>
    </w:rPr>
  </w:style>
  <w:style w:type="paragraph" w:customStyle="1" w:styleId="Summary">
    <w:name w:val="Summary"/>
    <w:basedOn w:val="Normal"/>
    <w:qFormat/>
    <w:rsid w:val="003D0AAF"/>
    <w:pPr>
      <w:pBdr>
        <w:top w:val="single" w:sz="8" w:space="4" w:color="005854"/>
        <w:bottom w:val="single" w:sz="8" w:space="4" w:color="005854"/>
      </w:pBdr>
      <w:autoSpaceDE w:val="0"/>
      <w:autoSpaceDN w:val="0"/>
      <w:adjustRightInd w:val="0"/>
      <w:spacing w:line="240" w:lineRule="auto"/>
      <w:ind w:right="4206"/>
      <w:jc w:val="left"/>
    </w:pPr>
    <w:rPr>
      <w:rFonts w:eastAsiaTheme="minorEastAsia" w:cstheme="minorHAnsi"/>
      <w:color w:val="005854"/>
      <w:szCs w:val="24"/>
      <w:lang w:val="en-AU" w:eastAsia="zh-CN"/>
    </w:rPr>
  </w:style>
  <w:style w:type="paragraph" w:customStyle="1" w:styleId="ListParagraphNumbered">
    <w:name w:val="List Paragraph Numbered"/>
    <w:basedOn w:val="ListParagraph"/>
    <w:qFormat/>
    <w:rsid w:val="00074DB0"/>
    <w:pPr>
      <w:numPr>
        <w:numId w:val="5"/>
      </w:numPr>
      <w:ind w:left="426" w:hanging="426"/>
    </w:pPr>
    <w:rPr>
      <w:lang w:val="en-AU"/>
    </w:rPr>
  </w:style>
  <w:style w:type="character" w:styleId="UnresolvedMention">
    <w:name w:val="Unresolved Mention"/>
    <w:basedOn w:val="DefaultParagraphFont"/>
    <w:uiPriority w:val="99"/>
    <w:semiHidden/>
    <w:unhideWhenUsed/>
    <w:rsid w:val="00074DB0"/>
    <w:rPr>
      <w:color w:val="605E5C"/>
      <w:shd w:val="clear" w:color="auto" w:fill="E1DFDD"/>
    </w:rPr>
  </w:style>
  <w:style w:type="character" w:styleId="Strong">
    <w:name w:val="Strong"/>
    <w:basedOn w:val="DefaultParagraphFont"/>
    <w:uiPriority w:val="22"/>
    <w:qFormat/>
    <w:rsid w:val="009B1CD2"/>
    <w:rPr>
      <w:b/>
      <w:bCs/>
      <w:color w:val="00706C"/>
    </w:rPr>
  </w:style>
  <w:style w:type="paragraph" w:customStyle="1" w:styleId="Heading1Intro">
    <w:name w:val="Heading 1 Intro"/>
    <w:basedOn w:val="Heading1"/>
    <w:qFormat/>
    <w:rsid w:val="00C01D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yperlink" Target="https://whittlesea.vic.gov.au/agricultur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mailto:agribusiness@whittlesea.vic.gov.au"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footer" Target="footer1.xml"/><Relationship Id="rId19" Type="http://schemas.openxmlformats.org/officeDocument/2006/relationships/hyperlink" Target="https://linkedin.com/company/city-of-whittlesea"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CE5384-B2C2-47FC-B982-8BD687584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1648</Words>
  <Characters>9397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City of Whittlesea: the right place for Agribusiness</vt:lpstr>
    </vt:vector>
  </TitlesOfParts>
  <Company>City of Whittlesea</Company>
  <LinksUpToDate>false</LinksUpToDate>
  <CharactersWithSpaces>11023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Whittlesea: the right place for Agribusiness</dc:title>
  <dc:subject>City of Whittlesea: the right place for Agribusiness</dc:subject>
  <dc:creator>City of Whittlesea</dc:creator>
  <cp:keywords>City of Whittlesea; Agribusiness; Competitive Advantage; Major Initiatives; State Government Advocacy; Land Capability; Food and Farm Collective; Regenerative Agriculture; Export and Innovation; Food Hub; Share Farming; Urban Agriculture;</cp:keywords>
  <dc:description/>
  <cp:lastModifiedBy>Rikki Keys</cp:lastModifiedBy>
  <cp:revision>4</cp:revision>
  <cp:lastPrinted>2020-10-29T14:42:00Z</cp:lastPrinted>
  <dcterms:created xsi:type="dcterms:W3CDTF">2020-11-27T01:53:00Z</dcterms:created>
  <dcterms:modified xsi:type="dcterms:W3CDTF">2021-04-16T01:44:00Z</dcterms:modified>
</cp:coreProperties>
</file>