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A08676" w14:textId="0091F419" w:rsidR="00266F65" w:rsidRPr="00DD1F2C" w:rsidRDefault="001842BA" w:rsidP="00F51976">
      <w:pPr>
        <w:pStyle w:val="Title"/>
      </w:pPr>
      <w:r w:rsidRPr="00DD1F2C">
        <w:t>S</w:t>
      </w:r>
      <w:r w:rsidR="00F51976">
        <w:t xml:space="preserve">ite </w:t>
      </w:r>
      <w:r w:rsidRPr="00DD1F2C">
        <w:t>E</w:t>
      </w:r>
      <w:r w:rsidR="00F51976">
        <w:t>nvironmental Management Plan (SEMP) factsheet</w:t>
      </w:r>
    </w:p>
    <w:p w14:paraId="36B92605" w14:textId="7BB3EEC3" w:rsidR="00F17C43" w:rsidRDefault="00BD2FEB">
      <w:r>
        <w:t xml:space="preserve">This </w:t>
      </w:r>
      <w:r w:rsidR="00DD1F2C">
        <w:t xml:space="preserve">information sheet provides </w:t>
      </w:r>
      <w:r w:rsidR="008438F8">
        <w:t>guidance for</w:t>
      </w:r>
      <w:r w:rsidR="003F7D6E">
        <w:t xml:space="preserve"> the development of </w:t>
      </w:r>
      <w:r w:rsidR="008438F8">
        <w:t xml:space="preserve">a </w:t>
      </w:r>
      <w:r w:rsidR="003F7D6E">
        <w:t>Site Environmental Management Plan</w:t>
      </w:r>
      <w:r w:rsidR="008438F8">
        <w:t xml:space="preserve"> (SEMP)</w:t>
      </w:r>
      <w:r w:rsidR="00F17C43">
        <w:t xml:space="preserve"> </w:t>
      </w:r>
      <w:r w:rsidR="00846AB6">
        <w:t xml:space="preserve">to </w:t>
      </w:r>
      <w:r w:rsidR="006E4BB7" w:rsidRPr="006E4BB7">
        <w:t xml:space="preserve">effectively minimise the potential for harm to the environment and </w:t>
      </w:r>
      <w:r w:rsidR="006E4BB7">
        <w:t xml:space="preserve">the </w:t>
      </w:r>
      <w:r w:rsidR="006E4BB7" w:rsidRPr="006E4BB7">
        <w:t>community</w:t>
      </w:r>
      <w:r w:rsidR="00EF2D0F">
        <w:t xml:space="preserve"> within</w:t>
      </w:r>
      <w:r w:rsidR="008438F8">
        <w:t xml:space="preserve"> </w:t>
      </w:r>
      <w:r w:rsidR="00C0166D">
        <w:t>the City of Whittlesea</w:t>
      </w:r>
      <w:r w:rsidR="0024141F">
        <w:t xml:space="preserve"> from construction sites.</w:t>
      </w:r>
    </w:p>
    <w:p w14:paraId="309F13DF" w14:textId="34813C9F" w:rsidR="001F25BC" w:rsidRDefault="00AE6E94" w:rsidP="00F51976">
      <w:pPr>
        <w:pStyle w:val="Heading1"/>
      </w:pPr>
      <w:r w:rsidRPr="00AE6E94">
        <w:t xml:space="preserve">What is </w:t>
      </w:r>
      <w:r w:rsidR="00A44999">
        <w:t xml:space="preserve">a </w:t>
      </w:r>
      <w:r w:rsidR="00A44999" w:rsidRPr="00A44999">
        <w:t>Site Environmental Management Plan (SEMP)</w:t>
      </w:r>
      <w:r w:rsidRPr="00AE6E94">
        <w:t>?</w:t>
      </w:r>
    </w:p>
    <w:p w14:paraId="5413393E" w14:textId="69260D0D" w:rsidR="00AE6E94" w:rsidRDefault="00846AB6">
      <w:pPr>
        <w:rPr>
          <w:rFonts w:cs="Arial"/>
        </w:rPr>
      </w:pPr>
      <w:r>
        <w:rPr>
          <w:rFonts w:cs="Arial"/>
        </w:rPr>
        <w:t xml:space="preserve">A </w:t>
      </w:r>
      <w:r w:rsidR="00A44999" w:rsidRPr="002A26B3">
        <w:rPr>
          <w:rFonts w:cs="Arial"/>
        </w:rPr>
        <w:t xml:space="preserve">Site Environmental Management Plan (SEMP) </w:t>
      </w:r>
      <w:r>
        <w:rPr>
          <w:rFonts w:cs="Arial"/>
        </w:rPr>
        <w:t>is a</w:t>
      </w:r>
      <w:r w:rsidR="00A44999" w:rsidRPr="002A26B3">
        <w:rPr>
          <w:rFonts w:cs="Arial"/>
        </w:rPr>
        <w:t xml:space="preserve"> comprehensive site-specific document identifying in detail the potential environmental </w:t>
      </w:r>
      <w:r w:rsidR="003C1B8D">
        <w:rPr>
          <w:rFonts w:cs="Arial"/>
        </w:rPr>
        <w:t>risks</w:t>
      </w:r>
      <w:r w:rsidR="00A44999" w:rsidRPr="002A26B3">
        <w:rPr>
          <w:rFonts w:cs="Arial"/>
        </w:rPr>
        <w:t xml:space="preserve"> and </w:t>
      </w:r>
      <w:r w:rsidR="003C1B8D">
        <w:rPr>
          <w:rFonts w:cs="Arial"/>
        </w:rPr>
        <w:t>impacts</w:t>
      </w:r>
      <w:r w:rsidR="00A44999" w:rsidRPr="002A26B3">
        <w:rPr>
          <w:rFonts w:cs="Arial"/>
        </w:rPr>
        <w:t xml:space="preserve"> of a proposed development and the ways in which these </w:t>
      </w:r>
      <w:r w:rsidR="003C1B8D">
        <w:rPr>
          <w:rFonts w:cs="Arial"/>
        </w:rPr>
        <w:t xml:space="preserve">risks and impacts </w:t>
      </w:r>
      <w:r w:rsidR="00A44999" w:rsidRPr="002A26B3">
        <w:rPr>
          <w:rFonts w:cs="Arial"/>
        </w:rPr>
        <w:t xml:space="preserve">may be reduced </w:t>
      </w:r>
      <w:r w:rsidR="00B368B3">
        <w:rPr>
          <w:rFonts w:cs="Arial"/>
        </w:rPr>
        <w:t xml:space="preserve">both on and around the site </w:t>
      </w:r>
      <w:r w:rsidR="00A44999" w:rsidRPr="002A26B3">
        <w:rPr>
          <w:rFonts w:cs="Arial"/>
        </w:rPr>
        <w:t>through management strategies and site practices.</w:t>
      </w:r>
    </w:p>
    <w:p w14:paraId="2FAC0EB8" w14:textId="4D98574F" w:rsidR="00F02071" w:rsidRDefault="00F02071" w:rsidP="00F51976">
      <w:pPr>
        <w:pStyle w:val="Heading1"/>
      </w:pPr>
      <w:r w:rsidRPr="00F02071">
        <w:t xml:space="preserve">What information </w:t>
      </w:r>
      <w:r w:rsidR="00C05861">
        <w:t xml:space="preserve">is required by Council in your </w:t>
      </w:r>
      <w:r w:rsidR="00AE1C39">
        <w:t xml:space="preserve">SEMP </w:t>
      </w:r>
      <w:r w:rsidR="00C05861">
        <w:t>submission</w:t>
      </w:r>
      <w:r w:rsidRPr="00F02071">
        <w:t>?</w:t>
      </w:r>
    </w:p>
    <w:p w14:paraId="00DAC270" w14:textId="687784BB" w:rsidR="004460EC" w:rsidRDefault="004460EC" w:rsidP="004460EC">
      <w:r>
        <w:t xml:space="preserve">All construction projects must obtain an </w:t>
      </w:r>
      <w:r w:rsidR="00795286">
        <w:t>a</w:t>
      </w:r>
      <w:r>
        <w:t>pproved</w:t>
      </w:r>
      <w:r w:rsidR="00987A90">
        <w:t xml:space="preserve"> &amp; endorsed</w:t>
      </w:r>
      <w:r>
        <w:t xml:space="preserve"> Site-Specific SEMP from Council prior to commencing works. </w:t>
      </w:r>
    </w:p>
    <w:p w14:paraId="4C2BDEB6" w14:textId="4A0BD1B8" w:rsidR="003421D0" w:rsidRDefault="003421D0" w:rsidP="004460EC">
      <w:r w:rsidRPr="00915D69">
        <w:t>All sections of the SEMP must be filled and submitted to Council a minimum of 21 days before a required pre-commencement meeting</w:t>
      </w:r>
      <w:r>
        <w:t xml:space="preserve"> (attended by authorised representatives of the construction contractor and project superintendent as appointed by the developer</w:t>
      </w:r>
      <w:r w:rsidRPr="00915D69">
        <w:t>.</w:t>
      </w:r>
    </w:p>
    <w:p w14:paraId="160252B3" w14:textId="1AD56DD5" w:rsidR="00AE2E36" w:rsidRDefault="00AE2E36" w:rsidP="00AE2E36">
      <w:pPr>
        <w:jc w:val="both"/>
      </w:pPr>
      <w:r>
        <w:t xml:space="preserve">SEMPs will not be considered </w:t>
      </w:r>
      <w:r w:rsidR="005272A1">
        <w:t>f</w:t>
      </w:r>
      <w:r>
        <w:t>or approved until the Functional Layout Plan(s) for the relevant stage has been endorsed by Council, the plan of subdivision has been certified, a draft landscape works plan for the relevant stage has been submitted for comparison against the civil engineering plan and the locations of other authorities’ services have been provided to the satisfaction of Council</w:t>
      </w:r>
      <w:r w:rsidR="00400892">
        <w:t>. W</w:t>
      </w:r>
      <w:r>
        <w:t xml:space="preserve">hen approved the SEMP will form part of the permit. </w:t>
      </w:r>
    </w:p>
    <w:p w14:paraId="0C3A5DFE" w14:textId="7AE5C406" w:rsidR="005E1518" w:rsidRDefault="009C6D14" w:rsidP="006F17F9">
      <w:r>
        <w:t>For a submission to be assessed it must contain</w:t>
      </w:r>
      <w:r w:rsidR="00F4126F">
        <w:t xml:space="preserve"> the following (and submitted as a stand-alone pdf document)</w:t>
      </w:r>
      <w:r w:rsidR="00613675">
        <w:t>:</w:t>
      </w:r>
    </w:p>
    <w:p w14:paraId="27050814" w14:textId="24129945" w:rsidR="002667D2" w:rsidRPr="00F51976" w:rsidRDefault="002667D2" w:rsidP="00F51976">
      <w:pPr>
        <w:pStyle w:val="ListParagraph"/>
        <w:numPr>
          <w:ilvl w:val="0"/>
          <w:numId w:val="10"/>
        </w:numPr>
        <w:ind w:left="851"/>
      </w:pPr>
      <w:r w:rsidRPr="00F51976">
        <w:t>Site Plan 1 (Types and Locations of Environmental Protection Measures)</w:t>
      </w:r>
      <w:r w:rsidR="006F17F9" w:rsidRPr="00F51976">
        <w:t>, and</w:t>
      </w:r>
    </w:p>
    <w:p w14:paraId="0713B8B7" w14:textId="597B0A0B" w:rsidR="002667D2" w:rsidRPr="00F51976" w:rsidRDefault="002667D2" w:rsidP="00F51976">
      <w:pPr>
        <w:pStyle w:val="ListParagraph"/>
        <w:numPr>
          <w:ilvl w:val="0"/>
          <w:numId w:val="10"/>
        </w:numPr>
        <w:ind w:left="851"/>
      </w:pPr>
      <w:r w:rsidRPr="00F51976">
        <w:t>Site Plan 2 (Risk Assessment and Designs of Environmental Protection Measures)</w:t>
      </w:r>
      <w:r w:rsidR="006F17F9" w:rsidRPr="00F51976">
        <w:t>,</w:t>
      </w:r>
    </w:p>
    <w:p w14:paraId="63DE6BE2" w14:textId="079A65BB" w:rsidR="000A5DE7" w:rsidRPr="00F51976" w:rsidRDefault="000A5DE7" w:rsidP="00F51976">
      <w:pPr>
        <w:pStyle w:val="ListParagraph"/>
        <w:numPr>
          <w:ilvl w:val="0"/>
          <w:numId w:val="10"/>
        </w:numPr>
        <w:ind w:left="851"/>
      </w:pPr>
      <w:r w:rsidRPr="00F51976">
        <w:t>Any other relevant documentation</w:t>
      </w:r>
      <w:r w:rsidR="00E103A5" w:rsidRPr="00F51976">
        <w:t xml:space="preserve"> </w:t>
      </w:r>
      <w:r w:rsidR="00B143A4" w:rsidRPr="00F51976">
        <w:t>(</w:t>
      </w:r>
      <w:proofErr w:type="gramStart"/>
      <w:r w:rsidR="00F64909" w:rsidRPr="00F51976">
        <w:t>e.g.</w:t>
      </w:r>
      <w:proofErr w:type="gramEnd"/>
      <w:r w:rsidR="00F64909" w:rsidRPr="00F51976">
        <w:t xml:space="preserve"> N</w:t>
      </w:r>
      <w:r w:rsidR="00BD4AAB" w:rsidRPr="00F51976">
        <w:t xml:space="preserve">otifications to </w:t>
      </w:r>
      <w:r w:rsidR="00F64909" w:rsidRPr="00F51976">
        <w:t>n</w:t>
      </w:r>
      <w:r w:rsidR="00BD4AAB" w:rsidRPr="00F51976">
        <w:t xml:space="preserve">earby </w:t>
      </w:r>
      <w:r w:rsidR="00F64909" w:rsidRPr="00F51976">
        <w:t>r</w:t>
      </w:r>
      <w:r w:rsidR="00BD4AAB" w:rsidRPr="00F51976">
        <w:t>esidence</w:t>
      </w:r>
      <w:r w:rsidR="002B7BBC" w:rsidRPr="00F51976">
        <w:t>;</w:t>
      </w:r>
      <w:r w:rsidR="00F64909" w:rsidRPr="00F51976">
        <w:t xml:space="preserve"> </w:t>
      </w:r>
      <w:r w:rsidR="002B7BBC" w:rsidRPr="00F51976">
        <w:t>Arborist assessment</w:t>
      </w:r>
      <w:r w:rsidR="00B933F9" w:rsidRPr="00F51976">
        <w:t>;</w:t>
      </w:r>
      <w:r w:rsidR="002B7BBC" w:rsidRPr="00F51976">
        <w:t xml:space="preserve"> </w:t>
      </w:r>
      <w:r w:rsidR="00F64909" w:rsidRPr="00F51976">
        <w:t>V</w:t>
      </w:r>
      <w:r w:rsidR="002B7BBC" w:rsidRPr="00F51976">
        <w:t>egetation removal permits</w:t>
      </w:r>
      <w:r w:rsidR="00B143A4" w:rsidRPr="00F51976">
        <w:t>)</w:t>
      </w:r>
      <w:r w:rsidR="00F64909" w:rsidRPr="00F51976">
        <w:t>.</w:t>
      </w:r>
    </w:p>
    <w:p w14:paraId="55B294C1" w14:textId="4F8EB2E1" w:rsidR="00BD2FEB" w:rsidRDefault="00BD2FEB">
      <w:r>
        <w:t>A SEMP may require approval from other organisations such as DELWP</w:t>
      </w:r>
      <w:r w:rsidR="004F7982">
        <w:t>, EPA</w:t>
      </w:r>
      <w:r w:rsidR="001F25BC">
        <w:t xml:space="preserve"> or Melbourne Water</w:t>
      </w:r>
      <w:r>
        <w:t xml:space="preserve">. These approvals must be sought and gained separately, however Council approval is still required. </w:t>
      </w:r>
    </w:p>
    <w:p w14:paraId="349FF692" w14:textId="77C312CE" w:rsidR="00F51976" w:rsidRDefault="00E52854" w:rsidP="31F2A89A">
      <w:r>
        <w:t xml:space="preserve">Ensure </w:t>
      </w:r>
      <w:r w:rsidR="005657FF">
        <w:t>to</w:t>
      </w:r>
      <w:r>
        <w:t xml:space="preserve"> </w:t>
      </w:r>
      <w:r w:rsidR="00CB68B6">
        <w:t>q</w:t>
      </w:r>
      <w:r>
        <w:t xml:space="preserve">uality control check all </w:t>
      </w:r>
      <w:r w:rsidR="00E65028">
        <w:t xml:space="preserve">components of the </w:t>
      </w:r>
      <w:r>
        <w:t>SEMP</w:t>
      </w:r>
      <w:r w:rsidR="00AF78C2">
        <w:t xml:space="preserve">, ensure that the SEMP is site-specific to the current works </w:t>
      </w:r>
      <w:r w:rsidR="005657FF">
        <w:t xml:space="preserve">and reflects the most recent and approved engineering/civil plans and </w:t>
      </w:r>
      <w:r w:rsidR="005D7095">
        <w:t xml:space="preserve">permit conditions </w:t>
      </w:r>
      <w:r w:rsidR="00322B17">
        <w:t>prior to submission.</w:t>
      </w:r>
      <w:r w:rsidR="00192717">
        <w:t xml:space="preserve"> I</w:t>
      </w:r>
      <w:r w:rsidR="000A586D">
        <w:t xml:space="preserve">f Council provides questions or comments on your draft </w:t>
      </w:r>
      <w:proofErr w:type="gramStart"/>
      <w:r w:rsidR="000A586D">
        <w:t>SEMP</w:t>
      </w:r>
      <w:proofErr w:type="gramEnd"/>
      <w:r w:rsidR="000A586D">
        <w:t xml:space="preserve"> please ensure your response addresses all issues raised and that the SEMP is updated accordingly.</w:t>
      </w:r>
    </w:p>
    <w:p w14:paraId="451C5A85" w14:textId="3B5B7209" w:rsidR="00F51976" w:rsidRDefault="31F2A89A" w:rsidP="31F2A89A">
      <w:pPr>
        <w:rPr>
          <w:rFonts w:eastAsia="Calibri" w:cs="Calibri"/>
        </w:rPr>
        <w:sectPr w:rsidR="00F51976" w:rsidSect="00F51976">
          <w:headerReference w:type="default" r:id="rId10"/>
          <w:footerReference w:type="default" r:id="rId11"/>
          <w:pgSz w:w="11906" w:h="16838"/>
          <w:pgMar w:top="2410" w:right="720" w:bottom="0" w:left="720" w:header="708" w:footer="708" w:gutter="0"/>
          <w:cols w:space="708"/>
          <w:docGrid w:linePitch="360"/>
        </w:sectPr>
      </w:pPr>
      <w:r w:rsidRPr="31F2A89A">
        <w:rPr>
          <w:rFonts w:eastAsia="Calibri" w:cs="Calibri"/>
        </w:rPr>
        <w:t xml:space="preserve">Submit your SEMP to Council via email to </w:t>
      </w:r>
      <w:hyperlink r:id="rId12">
        <w:r w:rsidRPr="31F2A89A">
          <w:rPr>
            <w:rStyle w:val="Hyperlink"/>
            <w:rFonts w:eastAsia="Calibri" w:cs="Calibri"/>
          </w:rPr>
          <w:t>Development.Engineering@whittlesea.vic.gov.au</w:t>
        </w:r>
      </w:hyperlink>
      <w:r w:rsidRPr="31F2A89A">
        <w:rPr>
          <w:rFonts w:eastAsia="Calibri" w:cs="Calibri"/>
        </w:rPr>
        <w:t>.</w:t>
      </w:r>
    </w:p>
    <w:p w14:paraId="56AFD3E1" w14:textId="3D7E6A28" w:rsidR="005C1537" w:rsidRPr="005B606D" w:rsidRDefault="00F51976" w:rsidP="00F51976">
      <w:pPr>
        <w:pStyle w:val="Heading1"/>
      </w:pPr>
      <w:r>
        <w:lastRenderedPageBreak/>
        <w:t>Resources</w:t>
      </w:r>
    </w:p>
    <w:p w14:paraId="00E89C88" w14:textId="66D88E2C" w:rsidR="0022602E" w:rsidRDefault="00137F00">
      <w:pPr>
        <w:rPr>
          <w:rFonts w:cs="Arial"/>
        </w:rPr>
      </w:pPr>
      <w:r>
        <w:t xml:space="preserve">A </w:t>
      </w:r>
      <w:r w:rsidRPr="002A26B3">
        <w:rPr>
          <w:rFonts w:cs="Arial"/>
        </w:rPr>
        <w:t xml:space="preserve">Site Environmental Management Plan </w:t>
      </w:r>
      <w:r w:rsidR="00704CC7">
        <w:rPr>
          <w:rFonts w:cs="Arial"/>
        </w:rPr>
        <w:t>Ki</w:t>
      </w:r>
      <w:r w:rsidR="00294600">
        <w:rPr>
          <w:rFonts w:cs="Arial"/>
        </w:rPr>
        <w:t>t has</w:t>
      </w:r>
      <w:r w:rsidR="002E6CEA">
        <w:rPr>
          <w:rFonts w:cs="Arial"/>
        </w:rPr>
        <w:t xml:space="preserve"> been </w:t>
      </w:r>
      <w:r w:rsidR="002E6CEA" w:rsidRPr="002A26B3">
        <w:t>develop</w:t>
      </w:r>
      <w:r w:rsidR="00704CC7">
        <w:t>ed</w:t>
      </w:r>
      <w:r w:rsidR="002E6CEA" w:rsidRPr="002A26B3">
        <w:t xml:space="preserve"> </w:t>
      </w:r>
      <w:r w:rsidR="002E6CEA">
        <w:t xml:space="preserve">to </w:t>
      </w:r>
      <w:r w:rsidR="005703C5" w:rsidRPr="00103ACF">
        <w:t xml:space="preserve">provide a </w:t>
      </w:r>
      <w:r w:rsidR="00EC553C" w:rsidRPr="00103ACF">
        <w:t>step-by-step</w:t>
      </w:r>
      <w:r w:rsidR="005703C5" w:rsidRPr="00103ACF">
        <w:t xml:space="preserve"> process </w:t>
      </w:r>
      <w:r w:rsidR="00EC553C" w:rsidRPr="002A26B3">
        <w:rPr>
          <w:rFonts w:cs="Arial"/>
        </w:rPr>
        <w:t xml:space="preserve">to understand </w:t>
      </w:r>
      <w:r w:rsidR="00294600">
        <w:rPr>
          <w:rFonts w:cs="Arial"/>
        </w:rPr>
        <w:t xml:space="preserve">the </w:t>
      </w:r>
      <w:r w:rsidR="002A29BD">
        <w:t xml:space="preserve">City of Whittlesea’s </w:t>
      </w:r>
      <w:r w:rsidR="00EC553C" w:rsidRPr="002A26B3">
        <w:rPr>
          <w:rFonts w:cs="Arial"/>
        </w:rPr>
        <w:t>requirements for the development of a satisfactory SEMP</w:t>
      </w:r>
      <w:r w:rsidR="00EC553C">
        <w:rPr>
          <w:rFonts w:cs="Arial"/>
        </w:rPr>
        <w:t xml:space="preserve">. </w:t>
      </w:r>
    </w:p>
    <w:p w14:paraId="36BE9DB0" w14:textId="791EF560" w:rsidR="00BD2FEB" w:rsidRDefault="002C06EB">
      <w:r>
        <w:t>Example</w:t>
      </w:r>
      <w:r w:rsidR="00BD2FEB">
        <w:t xml:space="preserve"> guidance o</w:t>
      </w:r>
      <w:r>
        <w:t>f</w:t>
      </w:r>
      <w:r w:rsidR="00BD2FEB">
        <w:t xml:space="preserve"> </w:t>
      </w:r>
      <w:r w:rsidR="00DA0F58">
        <w:t xml:space="preserve">Site </w:t>
      </w:r>
      <w:r>
        <w:t>E</w:t>
      </w:r>
      <w:r w:rsidR="00BD2FEB">
        <w:t xml:space="preserve">nvironmental </w:t>
      </w:r>
      <w:r>
        <w:t>M</w:t>
      </w:r>
      <w:r w:rsidR="00BD2FEB">
        <w:t xml:space="preserve">anagement </w:t>
      </w:r>
      <w:r w:rsidR="00DA0F58">
        <w:t xml:space="preserve">Plan </w:t>
      </w:r>
      <w:r w:rsidR="00BD2FEB">
        <w:t>can be found in the table below</w:t>
      </w:r>
      <w:r>
        <w:t>:</w:t>
      </w:r>
    </w:p>
    <w:tbl>
      <w:tblPr>
        <w:tblStyle w:val="TableGrid"/>
        <w:tblW w:w="10550" w:type="dxa"/>
        <w:tblLook w:val="04A0" w:firstRow="1" w:lastRow="0" w:firstColumn="1" w:lastColumn="0" w:noHBand="0" w:noVBand="1"/>
      </w:tblPr>
      <w:tblGrid>
        <w:gridCol w:w="2505"/>
        <w:gridCol w:w="8045"/>
      </w:tblGrid>
      <w:tr w:rsidR="00BD2FEB" w14:paraId="3F01F9BC" w14:textId="77777777" w:rsidTr="31F2A89A">
        <w:tc>
          <w:tcPr>
            <w:tcW w:w="2505" w:type="dxa"/>
          </w:tcPr>
          <w:p w14:paraId="4D2B7ABB" w14:textId="6207185B" w:rsidR="00BD2FEB" w:rsidRDefault="00BD2FEB">
            <w:r>
              <w:t xml:space="preserve">Management </w:t>
            </w:r>
          </w:p>
        </w:tc>
        <w:tc>
          <w:tcPr>
            <w:tcW w:w="8045" w:type="dxa"/>
          </w:tcPr>
          <w:p w14:paraId="18102902" w14:textId="3B30E6CE" w:rsidR="00BD2FEB" w:rsidRPr="00707204" w:rsidRDefault="004E62DF" w:rsidP="00F51976">
            <w:pPr>
              <w:pStyle w:val="ListParagraph"/>
              <w:numPr>
                <w:ilvl w:val="0"/>
                <w:numId w:val="11"/>
              </w:numPr>
              <w:ind w:left="359"/>
            </w:pPr>
            <w:r w:rsidRPr="00707204">
              <w:t xml:space="preserve">All contractors, subcontractors and others working on site must be aware and inducted into SEMP. </w:t>
            </w:r>
          </w:p>
        </w:tc>
      </w:tr>
      <w:tr w:rsidR="00BD2FEB" w14:paraId="6DD12D2C" w14:textId="77777777" w:rsidTr="31F2A89A">
        <w:tc>
          <w:tcPr>
            <w:tcW w:w="2505" w:type="dxa"/>
          </w:tcPr>
          <w:p w14:paraId="49D66A20" w14:textId="4EC3C9D0" w:rsidR="00BD2FEB" w:rsidRDefault="00BD2FEB">
            <w:r>
              <w:t>Noise, Vibration and Lighting</w:t>
            </w:r>
          </w:p>
        </w:tc>
        <w:tc>
          <w:tcPr>
            <w:tcW w:w="8045" w:type="dxa"/>
          </w:tcPr>
          <w:p w14:paraId="41B23CBE" w14:textId="1102CE22" w:rsidR="00BD2FEB" w:rsidRPr="00707204" w:rsidRDefault="004E62DF" w:rsidP="00F51976">
            <w:pPr>
              <w:pStyle w:val="ListParagraph"/>
              <w:numPr>
                <w:ilvl w:val="0"/>
                <w:numId w:val="11"/>
              </w:numPr>
              <w:ind w:left="359"/>
            </w:pPr>
            <w:r w:rsidRPr="00707204">
              <w:t>Locate works that may generate noise and vibration as far away from neighbours and sensitive environments (Sensitive receivers) as possible.</w:t>
            </w:r>
          </w:p>
        </w:tc>
      </w:tr>
      <w:tr w:rsidR="00BD2FEB" w14:paraId="1D793485" w14:textId="77777777" w:rsidTr="31F2A89A">
        <w:tc>
          <w:tcPr>
            <w:tcW w:w="2505" w:type="dxa"/>
          </w:tcPr>
          <w:p w14:paraId="0CBEDD42" w14:textId="3851F52C" w:rsidR="00BD2FEB" w:rsidRDefault="00EC5F4C">
            <w:r>
              <w:t>Dust</w:t>
            </w:r>
          </w:p>
        </w:tc>
        <w:tc>
          <w:tcPr>
            <w:tcW w:w="8045" w:type="dxa"/>
          </w:tcPr>
          <w:p w14:paraId="113AF297" w14:textId="04002907" w:rsidR="00BD2FEB" w:rsidRPr="00707204" w:rsidRDefault="004E62DF" w:rsidP="00F51976">
            <w:pPr>
              <w:pStyle w:val="ListParagraph"/>
              <w:numPr>
                <w:ilvl w:val="0"/>
                <w:numId w:val="11"/>
              </w:numPr>
              <w:ind w:left="359"/>
            </w:pPr>
            <w:r w:rsidRPr="00707204">
              <w:t xml:space="preserve">A water truck/cart must be available on site full-time to spray truck routes and exposed surfaces. </w:t>
            </w:r>
          </w:p>
        </w:tc>
      </w:tr>
      <w:tr w:rsidR="00BD2FEB" w14:paraId="4E3FD0B3" w14:textId="77777777" w:rsidTr="31F2A89A">
        <w:tc>
          <w:tcPr>
            <w:tcW w:w="2505" w:type="dxa"/>
          </w:tcPr>
          <w:p w14:paraId="4DE0857E" w14:textId="56A706FD" w:rsidR="00BD2FEB" w:rsidRDefault="00EC5F4C">
            <w:r>
              <w:t xml:space="preserve">Erosion and Sediment </w:t>
            </w:r>
          </w:p>
        </w:tc>
        <w:tc>
          <w:tcPr>
            <w:tcW w:w="8045" w:type="dxa"/>
          </w:tcPr>
          <w:p w14:paraId="229FB384" w14:textId="6A768F44" w:rsidR="004E62DF" w:rsidRPr="00707204" w:rsidRDefault="355D0C92" w:rsidP="00F51976">
            <w:pPr>
              <w:pStyle w:val="ListParagraph"/>
              <w:numPr>
                <w:ilvl w:val="0"/>
                <w:numId w:val="11"/>
              </w:numPr>
              <w:ind w:left="359"/>
              <w:rPr>
                <w:rFonts w:cstheme="minorBidi"/>
              </w:rPr>
            </w:pPr>
            <w:r w:rsidRPr="31F2A89A">
              <w:rPr>
                <w:rFonts w:cstheme="minorBidi"/>
              </w:rPr>
              <w:t xml:space="preserve">Site access point to be maintained and clean of, soil etc. </w:t>
            </w:r>
          </w:p>
          <w:p w14:paraId="07DD6871" w14:textId="1F787288" w:rsidR="004E62DF" w:rsidRPr="00707204" w:rsidRDefault="00AE00CA" w:rsidP="00F51976">
            <w:pPr>
              <w:pStyle w:val="ListParagraph"/>
              <w:numPr>
                <w:ilvl w:val="0"/>
                <w:numId w:val="11"/>
              </w:numPr>
              <w:ind w:left="359"/>
            </w:pPr>
            <w:r>
              <w:t>D</w:t>
            </w:r>
            <w:r w:rsidR="004E62DF" w:rsidRPr="00707204">
              <w:t>edicated bunded cleaning and washing area on site</w:t>
            </w:r>
            <w:r>
              <w:t>.</w:t>
            </w:r>
          </w:p>
          <w:p w14:paraId="396E0EF0" w14:textId="15BF64A3" w:rsidR="00BD2FEB" w:rsidRPr="00707204" w:rsidRDefault="004E62DF" w:rsidP="00F51976">
            <w:pPr>
              <w:pStyle w:val="ListParagraph"/>
              <w:numPr>
                <w:ilvl w:val="0"/>
                <w:numId w:val="11"/>
              </w:numPr>
              <w:ind w:left="359"/>
            </w:pPr>
            <w:r w:rsidRPr="00707204">
              <w:t xml:space="preserve">Stockpile areas must be away from site boundary, waterways, residential </w:t>
            </w:r>
            <w:proofErr w:type="gramStart"/>
            <w:r w:rsidRPr="00707204">
              <w:t>areas</w:t>
            </w:r>
            <w:proofErr w:type="gramEnd"/>
            <w:r w:rsidRPr="00707204">
              <w:t xml:space="preserve"> and other sensitive areas</w:t>
            </w:r>
            <w:r w:rsidR="00F84C1A">
              <w:t xml:space="preserve"> </w:t>
            </w:r>
            <w:proofErr w:type="spellStart"/>
            <w:r w:rsidR="00F84C1A">
              <w:t>eg.</w:t>
            </w:r>
            <w:proofErr w:type="spellEnd"/>
            <w:r w:rsidR="00F84C1A">
              <w:t xml:space="preserve"> TPZ</w:t>
            </w:r>
          </w:p>
        </w:tc>
      </w:tr>
      <w:tr w:rsidR="00BD2FEB" w14:paraId="31D9DA51" w14:textId="77777777" w:rsidTr="31F2A89A">
        <w:tc>
          <w:tcPr>
            <w:tcW w:w="2505" w:type="dxa"/>
          </w:tcPr>
          <w:p w14:paraId="01362FC2" w14:textId="358CED12" w:rsidR="00BD2FEB" w:rsidRDefault="00EC5F4C">
            <w:r>
              <w:t>Dispersive /Sodic Soils</w:t>
            </w:r>
          </w:p>
        </w:tc>
        <w:tc>
          <w:tcPr>
            <w:tcW w:w="8045" w:type="dxa"/>
          </w:tcPr>
          <w:p w14:paraId="16D2D8F5" w14:textId="0AE1D488" w:rsidR="00BD2FEB" w:rsidRPr="00707204" w:rsidRDefault="004E62DF" w:rsidP="00F51976">
            <w:pPr>
              <w:pStyle w:val="ListParagraph"/>
              <w:numPr>
                <w:ilvl w:val="0"/>
                <w:numId w:val="11"/>
              </w:numPr>
              <w:ind w:left="359"/>
            </w:pPr>
            <w:r w:rsidRPr="00707204">
              <w:t xml:space="preserve">Site managers must be aware of any potentially problematic soils such as highly erodible soils, dispersive or sodic soils. </w:t>
            </w:r>
          </w:p>
        </w:tc>
      </w:tr>
      <w:tr w:rsidR="00EC5F4C" w14:paraId="335BF033" w14:textId="77777777" w:rsidTr="31F2A89A">
        <w:tc>
          <w:tcPr>
            <w:tcW w:w="2505" w:type="dxa"/>
          </w:tcPr>
          <w:p w14:paraId="5E34E020" w14:textId="260E269C" w:rsidR="00EC5F4C" w:rsidRDefault="00EC5F4C" w:rsidP="00EC5F4C">
            <w:r>
              <w:t>Sediment traps</w:t>
            </w:r>
          </w:p>
        </w:tc>
        <w:tc>
          <w:tcPr>
            <w:tcW w:w="8045" w:type="dxa"/>
          </w:tcPr>
          <w:p w14:paraId="2B11307B" w14:textId="77777777" w:rsidR="004E62DF" w:rsidRPr="00707204" w:rsidRDefault="004E62DF" w:rsidP="00F51976">
            <w:pPr>
              <w:pStyle w:val="ListParagraph"/>
              <w:numPr>
                <w:ilvl w:val="0"/>
                <w:numId w:val="11"/>
              </w:numPr>
              <w:ind w:left="359"/>
            </w:pPr>
            <w:r w:rsidRPr="00707204">
              <w:t xml:space="preserve">Sediment run-off controls and drainage around all construction areas must be established prior to commencement of any building or works. </w:t>
            </w:r>
          </w:p>
          <w:p w14:paraId="2E26AE8F" w14:textId="77777777" w:rsidR="00AF2FD3" w:rsidRDefault="004E62DF" w:rsidP="00F51976">
            <w:pPr>
              <w:pStyle w:val="ListParagraph"/>
              <w:numPr>
                <w:ilvl w:val="0"/>
                <w:numId w:val="11"/>
              </w:numPr>
              <w:ind w:left="359"/>
            </w:pPr>
            <w:r w:rsidRPr="00707204">
              <w:t>All sediment control measures must be maintained and intact for the duration of the works and inspected prior to and after</w:t>
            </w:r>
            <w:r w:rsidR="00AD0467">
              <w:t xml:space="preserve"> </w:t>
            </w:r>
            <w:r w:rsidRPr="00707204">
              <w:t>rain events</w:t>
            </w:r>
            <w:r w:rsidR="00AD0467">
              <w:t>,</w:t>
            </w:r>
            <w:r w:rsidRPr="00707204">
              <w:t xml:space="preserve"> to ensure they are functioning properly. </w:t>
            </w:r>
          </w:p>
          <w:p w14:paraId="68CF78DC" w14:textId="421EB4F0" w:rsidR="004E62DF" w:rsidRPr="00707204" w:rsidRDefault="00AF2FD3" w:rsidP="00F51976">
            <w:pPr>
              <w:pStyle w:val="ListParagraph"/>
              <w:numPr>
                <w:ilvl w:val="0"/>
                <w:numId w:val="11"/>
              </w:numPr>
              <w:ind w:left="359"/>
            </w:pPr>
            <w:r w:rsidRPr="00EB6B3D">
              <w:t>Sediment retention</w:t>
            </w:r>
            <w:r>
              <w:t xml:space="preserve">/runoff controls </w:t>
            </w:r>
            <w:r w:rsidRPr="00EB6B3D">
              <w:t xml:space="preserve">should be designed and installed to cater for the predicted flows from a </w:t>
            </w:r>
            <w:r w:rsidR="00800B97">
              <w:t xml:space="preserve">1in2yr </w:t>
            </w:r>
            <w:r w:rsidRPr="00EB6B3D">
              <w:t>storm event</w:t>
            </w:r>
            <w:r w:rsidR="00800B97">
              <w:t>.</w:t>
            </w:r>
          </w:p>
          <w:p w14:paraId="2D871C78" w14:textId="3A6C2B98" w:rsidR="00EC5F4C" w:rsidRPr="00707204" w:rsidRDefault="004E62DF" w:rsidP="00F51976">
            <w:pPr>
              <w:pStyle w:val="ListParagraph"/>
              <w:numPr>
                <w:ilvl w:val="0"/>
                <w:numId w:val="11"/>
              </w:numPr>
              <w:ind w:left="359"/>
            </w:pPr>
            <w:r w:rsidRPr="00707204">
              <w:t>Sediment fences require desilting when sediment has built up to 1/3 the height of the measure or when built up sediment is preventing the fence from working effectively.</w:t>
            </w:r>
          </w:p>
        </w:tc>
      </w:tr>
      <w:tr w:rsidR="00EC5F4C" w14:paraId="2404EC22" w14:textId="77777777" w:rsidTr="31F2A89A">
        <w:tc>
          <w:tcPr>
            <w:tcW w:w="2505" w:type="dxa"/>
          </w:tcPr>
          <w:p w14:paraId="691AAEBD" w14:textId="1AD5803A" w:rsidR="00EC5F4C" w:rsidRDefault="00EC5F4C">
            <w:r>
              <w:t>Waste</w:t>
            </w:r>
          </w:p>
        </w:tc>
        <w:tc>
          <w:tcPr>
            <w:tcW w:w="8045" w:type="dxa"/>
          </w:tcPr>
          <w:p w14:paraId="4F52CA4F" w14:textId="02AF6EE2" w:rsidR="004E62DF" w:rsidRPr="00707204" w:rsidRDefault="004E62DF" w:rsidP="00F51976">
            <w:pPr>
              <w:pStyle w:val="ListParagraph"/>
              <w:numPr>
                <w:ilvl w:val="0"/>
                <w:numId w:val="11"/>
              </w:numPr>
              <w:ind w:left="359"/>
            </w:pPr>
            <w:r w:rsidRPr="00707204">
              <w:t>Indicate whether soil will be moved on</w:t>
            </w:r>
            <w:r w:rsidR="00527377">
              <w:t>/</w:t>
            </w:r>
            <w:r w:rsidRPr="00707204">
              <w:t>off site as part of the works.</w:t>
            </w:r>
          </w:p>
          <w:p w14:paraId="36280F3E" w14:textId="77777777" w:rsidR="004E62DF" w:rsidRPr="00707204" w:rsidRDefault="004E62DF" w:rsidP="00F51976">
            <w:pPr>
              <w:pStyle w:val="ListParagraph"/>
              <w:numPr>
                <w:ilvl w:val="0"/>
                <w:numId w:val="11"/>
              </w:numPr>
              <w:ind w:left="359"/>
            </w:pPr>
            <w:r w:rsidRPr="00707204">
              <w:t>Indicate contaminant status of soils.</w:t>
            </w:r>
          </w:p>
          <w:p w14:paraId="3FAE7D2D" w14:textId="18DE50C6" w:rsidR="00EC5F4C" w:rsidRPr="00707204" w:rsidRDefault="004E62DF" w:rsidP="00F51976">
            <w:pPr>
              <w:pStyle w:val="ListParagraph"/>
              <w:numPr>
                <w:ilvl w:val="0"/>
                <w:numId w:val="11"/>
              </w:numPr>
              <w:ind w:left="359"/>
            </w:pPr>
            <w:r w:rsidRPr="00707204">
              <w:t>Site must be kept free of litter</w:t>
            </w:r>
            <w:r w:rsidR="006A05C1">
              <w:t>.</w:t>
            </w:r>
          </w:p>
        </w:tc>
      </w:tr>
      <w:tr w:rsidR="00EC5F4C" w14:paraId="0EFFB890" w14:textId="77777777" w:rsidTr="31F2A89A">
        <w:tc>
          <w:tcPr>
            <w:tcW w:w="2505" w:type="dxa"/>
          </w:tcPr>
          <w:p w14:paraId="6BE3A473" w14:textId="24976F30" w:rsidR="00EC5F4C" w:rsidRDefault="00EC5F4C">
            <w:r>
              <w:t>Chemicals</w:t>
            </w:r>
          </w:p>
        </w:tc>
        <w:tc>
          <w:tcPr>
            <w:tcW w:w="8045" w:type="dxa"/>
          </w:tcPr>
          <w:p w14:paraId="7A2CECD5" w14:textId="23CD874F" w:rsidR="001337C5" w:rsidRPr="00707204" w:rsidRDefault="001337C5" w:rsidP="00F51976">
            <w:pPr>
              <w:pStyle w:val="ListParagraph"/>
              <w:numPr>
                <w:ilvl w:val="0"/>
                <w:numId w:val="11"/>
              </w:numPr>
              <w:ind w:left="359"/>
            </w:pPr>
            <w:r w:rsidRPr="00707204">
              <w:t xml:space="preserve">All fuels, oils, </w:t>
            </w:r>
            <w:proofErr w:type="gramStart"/>
            <w:r w:rsidRPr="00707204">
              <w:t>chemicals</w:t>
            </w:r>
            <w:proofErr w:type="gramEnd"/>
            <w:r w:rsidRPr="00707204">
              <w:t xml:space="preserve"> and other hazardous materials must be stored in appropriate designated and bunded area. </w:t>
            </w:r>
          </w:p>
          <w:p w14:paraId="6EDB501A" w14:textId="28869021" w:rsidR="001337C5" w:rsidRPr="00707204" w:rsidRDefault="001337C5" w:rsidP="00F51976">
            <w:pPr>
              <w:pStyle w:val="ListParagraph"/>
              <w:numPr>
                <w:ilvl w:val="0"/>
                <w:numId w:val="11"/>
              </w:numPr>
              <w:ind w:left="359"/>
            </w:pPr>
            <w:r w:rsidRPr="00707204">
              <w:t xml:space="preserve">Immediately clean up all spills must to prevent contamination of the soil or water course. </w:t>
            </w:r>
          </w:p>
          <w:p w14:paraId="1728B04A" w14:textId="1157847C" w:rsidR="00EC5F4C" w:rsidRPr="006A05C1" w:rsidRDefault="001337C5" w:rsidP="00F51976">
            <w:pPr>
              <w:pStyle w:val="ListParagraph"/>
              <w:numPr>
                <w:ilvl w:val="0"/>
                <w:numId w:val="11"/>
              </w:numPr>
              <w:ind w:left="359"/>
            </w:pPr>
            <w:r w:rsidRPr="00707204">
              <w:t>All refuelling and other hazardous materials must be done only within appropriate bunded or portable sealed bunded area.</w:t>
            </w:r>
          </w:p>
        </w:tc>
      </w:tr>
      <w:tr w:rsidR="00EC5F4C" w14:paraId="4873A3AC" w14:textId="77777777" w:rsidTr="31F2A89A">
        <w:tc>
          <w:tcPr>
            <w:tcW w:w="2505" w:type="dxa"/>
          </w:tcPr>
          <w:p w14:paraId="076C94CB" w14:textId="60DD9C84" w:rsidR="00EC5F4C" w:rsidRDefault="00EC5F4C">
            <w:r>
              <w:t>Significant Flora / Fauna</w:t>
            </w:r>
          </w:p>
        </w:tc>
        <w:tc>
          <w:tcPr>
            <w:tcW w:w="8045" w:type="dxa"/>
          </w:tcPr>
          <w:p w14:paraId="43EE018C" w14:textId="77777777" w:rsidR="001337C5" w:rsidRPr="00707204" w:rsidRDefault="001337C5" w:rsidP="00F51976">
            <w:pPr>
              <w:pStyle w:val="ListParagraph"/>
              <w:numPr>
                <w:ilvl w:val="0"/>
                <w:numId w:val="11"/>
              </w:numPr>
              <w:ind w:left="359"/>
            </w:pPr>
            <w:r w:rsidRPr="00707204">
              <w:t xml:space="preserve">All significant flora, </w:t>
            </w:r>
            <w:proofErr w:type="gramStart"/>
            <w:r w:rsidRPr="00707204">
              <w:t>fauna</w:t>
            </w:r>
            <w:proofErr w:type="gramEnd"/>
            <w:r w:rsidRPr="00707204">
              <w:t xml:space="preserve"> and habitat on or adjacent to the site must be protected and signed accordingly for all stages of work. </w:t>
            </w:r>
          </w:p>
          <w:p w14:paraId="6B94D9C7" w14:textId="5B2AD06C" w:rsidR="00EC5F4C" w:rsidRPr="00707204" w:rsidRDefault="00EC5F4C" w:rsidP="00F51976">
            <w:pPr>
              <w:pStyle w:val="ListParagraph"/>
              <w:numPr>
                <w:ilvl w:val="0"/>
                <w:numId w:val="11"/>
              </w:numPr>
              <w:ind w:left="359"/>
            </w:pPr>
            <w:r w:rsidRPr="00707204">
              <w:t xml:space="preserve">Clearly show all trees and indicate if they are to be retained or removed. </w:t>
            </w:r>
          </w:p>
        </w:tc>
      </w:tr>
      <w:tr w:rsidR="00EC5F4C" w14:paraId="74C3BEBD" w14:textId="77777777" w:rsidTr="31F2A89A">
        <w:tc>
          <w:tcPr>
            <w:tcW w:w="2505" w:type="dxa"/>
          </w:tcPr>
          <w:p w14:paraId="175AEB68" w14:textId="6C332A76" w:rsidR="00EC5F4C" w:rsidRDefault="00EC5F4C">
            <w:r>
              <w:t xml:space="preserve">Archaeological / Heritage </w:t>
            </w:r>
          </w:p>
        </w:tc>
        <w:tc>
          <w:tcPr>
            <w:tcW w:w="8045" w:type="dxa"/>
          </w:tcPr>
          <w:p w14:paraId="1605BA2B" w14:textId="2B7D91A7" w:rsidR="00EC5F4C" w:rsidRPr="00707204" w:rsidRDefault="001337C5" w:rsidP="00F51976">
            <w:pPr>
              <w:pStyle w:val="ListParagraph"/>
              <w:numPr>
                <w:ilvl w:val="0"/>
                <w:numId w:val="11"/>
              </w:numPr>
              <w:ind w:left="359"/>
            </w:pPr>
            <w:r w:rsidRPr="00707204">
              <w:t xml:space="preserve">Address environmental controls and cultural heritage and/or drystone wall protection measures to the satisfaction of the Responsible Authority. </w:t>
            </w:r>
          </w:p>
        </w:tc>
      </w:tr>
      <w:tr w:rsidR="00EC5F4C" w14:paraId="538E9E8A" w14:textId="77777777" w:rsidTr="31F2A89A">
        <w:tc>
          <w:tcPr>
            <w:tcW w:w="2505" w:type="dxa"/>
          </w:tcPr>
          <w:p w14:paraId="0645B11A" w14:textId="20A653D0" w:rsidR="00EC5F4C" w:rsidRDefault="00EC5F4C">
            <w:r>
              <w:t>Haulage Routes</w:t>
            </w:r>
          </w:p>
        </w:tc>
        <w:tc>
          <w:tcPr>
            <w:tcW w:w="8045" w:type="dxa"/>
          </w:tcPr>
          <w:p w14:paraId="534719B4" w14:textId="2B7A28EB" w:rsidR="00CF0193" w:rsidRPr="00707204" w:rsidRDefault="00CF0193" w:rsidP="00F51976">
            <w:pPr>
              <w:pStyle w:val="ListParagraph"/>
              <w:numPr>
                <w:ilvl w:val="0"/>
                <w:numId w:val="11"/>
              </w:numPr>
              <w:ind w:left="359"/>
            </w:pPr>
            <w:r w:rsidRPr="00707204">
              <w:t xml:space="preserve">Record intended offsite haulage routes and specify </w:t>
            </w:r>
            <w:r w:rsidR="00804BFB">
              <w:t>access point(s).</w:t>
            </w:r>
          </w:p>
          <w:p w14:paraId="3AA7D477" w14:textId="14775CC9" w:rsidR="00EC5F4C" w:rsidRPr="00707204" w:rsidRDefault="00CF0193" w:rsidP="00F51976">
            <w:pPr>
              <w:pStyle w:val="ListParagraph"/>
              <w:numPr>
                <w:ilvl w:val="0"/>
                <w:numId w:val="11"/>
              </w:numPr>
              <w:ind w:left="359"/>
            </w:pPr>
            <w:r w:rsidRPr="00707204">
              <w:t>Detail design and management of access (entry and exit) point(s)</w:t>
            </w:r>
            <w:r w:rsidR="00804BFB">
              <w:t>.</w:t>
            </w:r>
          </w:p>
        </w:tc>
      </w:tr>
      <w:tr w:rsidR="00EC5F4C" w14:paraId="5C04F364" w14:textId="77777777" w:rsidTr="31F2A89A">
        <w:tc>
          <w:tcPr>
            <w:tcW w:w="2505" w:type="dxa"/>
          </w:tcPr>
          <w:p w14:paraId="2164EEA6" w14:textId="03A3F9A3" w:rsidR="00EC5F4C" w:rsidRDefault="00EC5F4C">
            <w:r>
              <w:t>Works within or adjacent to a Waterway</w:t>
            </w:r>
          </w:p>
        </w:tc>
        <w:tc>
          <w:tcPr>
            <w:tcW w:w="8045" w:type="dxa"/>
          </w:tcPr>
          <w:p w14:paraId="382419F7" w14:textId="6F36140A" w:rsidR="00EC5F4C" w:rsidRPr="000B66EE" w:rsidRDefault="00CF0193" w:rsidP="00F51976">
            <w:pPr>
              <w:pStyle w:val="ListParagraph"/>
              <w:numPr>
                <w:ilvl w:val="0"/>
                <w:numId w:val="11"/>
              </w:numPr>
              <w:ind w:left="359"/>
            </w:pPr>
            <w:r w:rsidRPr="00707204">
              <w:rPr>
                <w:rFonts w:eastAsiaTheme="minorHAnsi"/>
              </w:rPr>
              <w:t>Monitor surface water quality regularly upstream and downstream from the activity.</w:t>
            </w:r>
          </w:p>
        </w:tc>
      </w:tr>
    </w:tbl>
    <w:p w14:paraId="53A435DC" w14:textId="77777777" w:rsidR="00F51976" w:rsidRDefault="00F51976" w:rsidP="00F51976">
      <w:r>
        <w:br w:type="page"/>
      </w:r>
    </w:p>
    <w:p w14:paraId="4EB6AC3A" w14:textId="5833BB45" w:rsidR="00BD2FEB" w:rsidRPr="00923ADB" w:rsidRDefault="00BD2FEB" w:rsidP="00F51976">
      <w:pPr>
        <w:pStyle w:val="Heading1"/>
      </w:pPr>
      <w:r w:rsidRPr="00923ADB">
        <w:lastRenderedPageBreak/>
        <w:t xml:space="preserve">On Site Compliance </w:t>
      </w:r>
    </w:p>
    <w:p w14:paraId="4B56BCD8" w14:textId="64E4604A" w:rsidR="00BD2FEB" w:rsidRDefault="00BD2FEB">
      <w:r>
        <w:t xml:space="preserve">It is critical that the Council </w:t>
      </w:r>
      <w:r w:rsidR="007C0710">
        <w:t>Approved</w:t>
      </w:r>
      <w:r>
        <w:t xml:space="preserve"> and </w:t>
      </w:r>
      <w:r w:rsidR="007C0710">
        <w:t>S</w:t>
      </w:r>
      <w:r>
        <w:t>tamped SEMP is implemented in full on site</w:t>
      </w:r>
      <w:r w:rsidR="00FF4EFC">
        <w:t>,</w:t>
      </w:r>
      <w:r w:rsidR="00A7646E">
        <w:t xml:space="preserve"> and all </w:t>
      </w:r>
      <w:r>
        <w:t xml:space="preserve">parties </w:t>
      </w:r>
      <w:r w:rsidR="0010218B">
        <w:t>(</w:t>
      </w:r>
      <w:r w:rsidR="00C12935">
        <w:t>Developers, Consultants</w:t>
      </w:r>
      <w:r w:rsidR="002E36BC">
        <w:t xml:space="preserve"> and</w:t>
      </w:r>
      <w:r w:rsidR="00C12935">
        <w:t xml:space="preserve"> Contractors</w:t>
      </w:r>
      <w:r w:rsidR="0010218B">
        <w:t xml:space="preserve">) </w:t>
      </w:r>
      <w:r>
        <w:t>involved with a site have a responsibility to protect the environment</w:t>
      </w:r>
      <w:r w:rsidR="00C12935">
        <w:t xml:space="preserve"> and human health. </w:t>
      </w:r>
      <w:r>
        <w:t xml:space="preserve"> </w:t>
      </w:r>
    </w:p>
    <w:p w14:paraId="6A40240D" w14:textId="2F0F16D6" w:rsidR="00BD2FEB" w:rsidRPr="009C4CF6" w:rsidRDefault="002A29BD" w:rsidP="009C4CF6">
      <w:pPr>
        <w:jc w:val="both"/>
        <w:rPr>
          <w:rFonts w:cs="Arial"/>
        </w:rPr>
      </w:pPr>
      <w:r>
        <w:t xml:space="preserve">Whittlesea </w:t>
      </w:r>
      <w:r w:rsidR="002D11F8" w:rsidRPr="002A26B3">
        <w:rPr>
          <w:rFonts w:cs="Arial"/>
        </w:rPr>
        <w:t xml:space="preserve">officers conduct regular inspections </w:t>
      </w:r>
      <w:r w:rsidR="000C7430">
        <w:rPr>
          <w:rFonts w:cs="Arial"/>
        </w:rPr>
        <w:t xml:space="preserve">to check compliance </w:t>
      </w:r>
      <w:r w:rsidR="002D11F8" w:rsidRPr="002A26B3">
        <w:rPr>
          <w:rFonts w:cs="Arial"/>
        </w:rPr>
        <w:t>and w</w:t>
      </w:r>
      <w:r w:rsidR="00707204" w:rsidRPr="009C4CF6">
        <w:rPr>
          <w:rFonts w:cs="Arial"/>
        </w:rPr>
        <w:t xml:space="preserve">here non-compliance exists, appropriate action will be taken, including guidance/direction to comply or </w:t>
      </w:r>
      <w:r w:rsidR="002D11F8" w:rsidRPr="002A26B3">
        <w:rPr>
          <w:rFonts w:cs="Arial"/>
        </w:rPr>
        <w:t>enforcement</w:t>
      </w:r>
      <w:r w:rsidR="00707204">
        <w:rPr>
          <w:rFonts w:cs="Arial"/>
        </w:rPr>
        <w:t xml:space="preserve"> where required</w:t>
      </w:r>
      <w:r w:rsidR="007E74AB">
        <w:rPr>
          <w:rFonts w:cs="Arial"/>
        </w:rPr>
        <w:t>,</w:t>
      </w:r>
      <w:r w:rsidR="002D11F8" w:rsidRPr="002A26B3">
        <w:rPr>
          <w:rFonts w:cs="Arial"/>
        </w:rPr>
        <w:t xml:space="preserve"> by Council and other relevant authorities if breaches of legislation or the </w:t>
      </w:r>
      <w:r w:rsidR="002D11F8">
        <w:rPr>
          <w:rFonts w:cs="Arial"/>
        </w:rPr>
        <w:t xml:space="preserve">approved </w:t>
      </w:r>
      <w:r w:rsidR="002D11F8" w:rsidRPr="002A26B3">
        <w:rPr>
          <w:rFonts w:cs="Arial"/>
        </w:rPr>
        <w:t>SEMP occur.</w:t>
      </w:r>
      <w:r w:rsidR="009C4CF6">
        <w:rPr>
          <w:rFonts w:cs="Arial"/>
        </w:rPr>
        <w:t xml:space="preserve"> </w:t>
      </w:r>
    </w:p>
    <w:p w14:paraId="39C415EB" w14:textId="15DB101E" w:rsidR="009547CC" w:rsidRPr="000719E5" w:rsidRDefault="009547CC" w:rsidP="00F51976">
      <w:pPr>
        <w:pStyle w:val="Heading1"/>
        <w:rPr>
          <w:rFonts w:cstheme="majorHAnsi"/>
        </w:rPr>
      </w:pPr>
      <w:r w:rsidRPr="31F2A89A">
        <w:t xml:space="preserve">Contact Us </w:t>
      </w:r>
    </w:p>
    <w:p w14:paraId="70158E6D" w14:textId="00B65D7D" w:rsidR="31F2A89A" w:rsidRPr="00F51976" w:rsidRDefault="31F2A89A" w:rsidP="00F51976">
      <w:pPr>
        <w:rPr>
          <w:szCs w:val="24"/>
        </w:rPr>
      </w:pPr>
      <w:r w:rsidRPr="00F51976">
        <w:rPr>
          <w:szCs w:val="24"/>
        </w:rPr>
        <w:t xml:space="preserve">Further information and questions relating to the SEMP Guidelines and Standards Manual and Template should be directed to City of Whittlesea’s Development Engineering Department. </w:t>
      </w:r>
    </w:p>
    <w:p w14:paraId="54073635" w14:textId="73D37706" w:rsidR="31F2A89A" w:rsidRPr="00F51976" w:rsidRDefault="31F2A89A" w:rsidP="00F51976">
      <w:pPr>
        <w:rPr>
          <w:szCs w:val="24"/>
        </w:rPr>
      </w:pPr>
      <w:r w:rsidRPr="00F51976">
        <w:rPr>
          <w:color w:val="000000" w:themeColor="text1"/>
          <w:szCs w:val="24"/>
        </w:rPr>
        <w:t>If you have any concerns or q</w:t>
      </w:r>
      <w:r w:rsidRPr="00F51976">
        <w:rPr>
          <w:szCs w:val="24"/>
        </w:rPr>
        <w:t>uestions regarding the draft conditions, please do not hesitate to contact the Planning Officer assigned to your application.</w:t>
      </w:r>
    </w:p>
    <w:sectPr w:rsidR="31F2A89A" w:rsidRPr="00F51976" w:rsidSect="008B6509">
      <w:head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BA40D0" w14:textId="77777777" w:rsidR="00F700A8" w:rsidRDefault="00F700A8" w:rsidP="00876F73">
      <w:pPr>
        <w:spacing w:after="0" w:line="240" w:lineRule="auto"/>
      </w:pPr>
      <w:r>
        <w:separator/>
      </w:r>
    </w:p>
  </w:endnote>
  <w:endnote w:type="continuationSeparator" w:id="0">
    <w:p w14:paraId="041085C5" w14:textId="77777777" w:rsidR="00F700A8" w:rsidRDefault="00F700A8" w:rsidP="00876F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58173678"/>
      <w:docPartObj>
        <w:docPartGallery w:val="Page Numbers (Bottom of Page)"/>
        <w:docPartUnique/>
      </w:docPartObj>
    </w:sdtPr>
    <w:sdtContent>
      <w:sdt>
        <w:sdtPr>
          <w:id w:val="-1769616900"/>
          <w:docPartObj>
            <w:docPartGallery w:val="Page Numbers (Top of Page)"/>
            <w:docPartUnique/>
          </w:docPartObj>
        </w:sdtPr>
        <w:sdtContent>
          <w:p w14:paraId="5E796C1E" w14:textId="6D945A6B" w:rsidR="00F51976" w:rsidRDefault="00F51976">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4DFA082B" w14:textId="0A9BEFC7" w:rsidR="00F64A97" w:rsidRPr="000F72EB" w:rsidRDefault="00F64A97" w:rsidP="000F72EB">
    <w:pPr>
      <w:pStyle w:val="Footer"/>
      <w:tabs>
        <w:tab w:val="clear" w:pos="4513"/>
        <w:tab w:val="clear" w:pos="9026"/>
        <w:tab w:val="left" w:pos="2670"/>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7A8776" w14:textId="77777777" w:rsidR="00F700A8" w:rsidRDefault="00F700A8" w:rsidP="00876F73">
      <w:pPr>
        <w:spacing w:after="0" w:line="240" w:lineRule="auto"/>
      </w:pPr>
      <w:r>
        <w:separator/>
      </w:r>
    </w:p>
  </w:footnote>
  <w:footnote w:type="continuationSeparator" w:id="0">
    <w:p w14:paraId="247F6D34" w14:textId="77777777" w:rsidR="00F700A8" w:rsidRDefault="00F700A8" w:rsidP="00876F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31DC47" w14:textId="0A502BDF" w:rsidR="00F51976" w:rsidRDefault="00F51976">
    <w:pPr>
      <w:pStyle w:val="Header"/>
    </w:pPr>
    <w:r>
      <w:rPr>
        <w:noProof/>
      </w:rPr>
      <w:drawing>
        <wp:anchor distT="0" distB="0" distL="114300" distR="114300" simplePos="0" relativeHeight="251659264" behindDoc="1" locked="0" layoutInCell="1" allowOverlap="1" wp14:anchorId="40AFC8E0" wp14:editId="6AF1D55E">
          <wp:simplePos x="0" y="0"/>
          <wp:positionH relativeFrom="column">
            <wp:posOffset>-477982</wp:posOffset>
          </wp:positionH>
          <wp:positionV relativeFrom="paragraph">
            <wp:posOffset>-447445</wp:posOffset>
          </wp:positionV>
          <wp:extent cx="7597140" cy="1564976"/>
          <wp:effectExtent l="0" t="0" r="3810" b="0"/>
          <wp:wrapNone/>
          <wp:docPr id="22" name="Picture 22" descr=" " title="City of Whittlese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licy-header.jpg"/>
                  <pic:cNvPicPr/>
                </pic:nvPicPr>
                <pic:blipFill>
                  <a:blip r:embed="rId1">
                    <a:extLst>
                      <a:ext uri="{28A0092B-C50C-407E-A947-70E740481C1C}">
                        <a14:useLocalDpi xmlns:a14="http://schemas.microsoft.com/office/drawing/2010/main" val="0"/>
                      </a:ext>
                    </a:extLst>
                  </a:blip>
                  <a:stretch>
                    <a:fillRect/>
                  </a:stretch>
                </pic:blipFill>
                <pic:spPr>
                  <a:xfrm>
                    <a:off x="0" y="0"/>
                    <a:ext cx="7597140" cy="1564976"/>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BD7591" w14:textId="07EEF333" w:rsidR="00F51976" w:rsidRDefault="00F519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2B3360"/>
    <w:multiLevelType w:val="hybridMultilevel"/>
    <w:tmpl w:val="6D9EAA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C32265A"/>
    <w:multiLevelType w:val="hybridMultilevel"/>
    <w:tmpl w:val="EA623C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22D074E"/>
    <w:multiLevelType w:val="hybridMultilevel"/>
    <w:tmpl w:val="EA705340"/>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44CF7118"/>
    <w:multiLevelType w:val="hybridMultilevel"/>
    <w:tmpl w:val="E5744532"/>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4BA5352A"/>
    <w:multiLevelType w:val="hybridMultilevel"/>
    <w:tmpl w:val="0C36C656"/>
    <w:lvl w:ilvl="0" w:tplc="BF6410A0">
      <w:numFmt w:val="bullet"/>
      <w:lvlText w:val="-"/>
      <w:lvlJc w:val="left"/>
      <w:pPr>
        <w:ind w:left="720" w:hanging="360"/>
      </w:pPr>
      <w:rPr>
        <w:rFonts w:ascii="Arial" w:eastAsiaTheme="minorHAnsi" w:hAnsi="Arial" w:cs="Arial" w:hint="default"/>
        <w:sz w:val="17"/>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D0E479A"/>
    <w:multiLevelType w:val="hybridMultilevel"/>
    <w:tmpl w:val="417EEE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FA9440F"/>
    <w:multiLevelType w:val="multilevel"/>
    <w:tmpl w:val="A356C466"/>
    <w:lvl w:ilvl="0">
      <w:start w:val="1"/>
      <w:numFmt w:val="decimal"/>
      <w:lvlText w:val="%1."/>
      <w:lvlJc w:val="left"/>
      <w:pPr>
        <w:ind w:left="720" w:hanging="360"/>
      </w:pPr>
      <w:rPr>
        <w:rFonts w:asciiTheme="minorHAnsi" w:eastAsiaTheme="minorHAnsi" w:hAnsiTheme="minorHAnsi" w:cstheme="minorBidi"/>
      </w:rPr>
    </w:lvl>
    <w:lvl w:ilvl="1">
      <w:start w:val="1"/>
      <w:numFmt w:val="decimal"/>
      <w:isLgl/>
      <w:lvlText w:val="%1.%2."/>
      <w:lvlJc w:val="left"/>
      <w:pPr>
        <w:ind w:left="970" w:hanging="610"/>
      </w:pPr>
      <w:rPr>
        <w:rFonts w:hint="default"/>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624C5C11"/>
    <w:multiLevelType w:val="hybridMultilevel"/>
    <w:tmpl w:val="958A6BEE"/>
    <w:lvl w:ilvl="0" w:tplc="3092CE88">
      <w:start w:val="21"/>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3323D8A"/>
    <w:multiLevelType w:val="hybridMultilevel"/>
    <w:tmpl w:val="F63AD650"/>
    <w:lvl w:ilvl="0" w:tplc="3092CE88">
      <w:start w:val="21"/>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9AC3394"/>
    <w:multiLevelType w:val="hybridMultilevel"/>
    <w:tmpl w:val="DB002AC6"/>
    <w:lvl w:ilvl="0" w:tplc="C9F072FE">
      <w:start w:val="1"/>
      <w:numFmt w:val="decimal"/>
      <w:lvlText w:val="%1."/>
      <w:lvlJc w:val="left"/>
      <w:pPr>
        <w:ind w:left="720" w:hanging="360"/>
      </w:pPr>
      <w:rPr>
        <w:rFonts w:ascii="Times New Roman" w:hAnsi="Times New Roman" w:hint="default"/>
        <w:b w:val="0"/>
        <w:i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7B2D3959"/>
    <w:multiLevelType w:val="hybridMultilevel"/>
    <w:tmpl w:val="79F0542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
  </w:num>
  <w:num w:numId="2">
    <w:abstractNumId w:val="8"/>
  </w:num>
  <w:num w:numId="3">
    <w:abstractNumId w:val="7"/>
  </w:num>
  <w:num w:numId="4">
    <w:abstractNumId w:val="0"/>
  </w:num>
  <w:num w:numId="5">
    <w:abstractNumId w:val="3"/>
  </w:num>
  <w:num w:numId="6">
    <w:abstractNumId w:val="6"/>
  </w:num>
  <w:num w:numId="7">
    <w:abstractNumId w:val="9"/>
  </w:num>
  <w:num w:numId="8">
    <w:abstractNumId w:val="5"/>
  </w:num>
  <w:num w:numId="9">
    <w:abstractNumId w:val="4"/>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FEB"/>
    <w:rsid w:val="000719E5"/>
    <w:rsid w:val="00076880"/>
    <w:rsid w:val="000A4168"/>
    <w:rsid w:val="000A586D"/>
    <w:rsid w:val="000A5DE7"/>
    <w:rsid w:val="000B13D7"/>
    <w:rsid w:val="000B66EE"/>
    <w:rsid w:val="000C7430"/>
    <w:rsid w:val="000D0A5F"/>
    <w:rsid w:val="000F72EB"/>
    <w:rsid w:val="0010218B"/>
    <w:rsid w:val="00103ACF"/>
    <w:rsid w:val="00126753"/>
    <w:rsid w:val="001300EC"/>
    <w:rsid w:val="001337C5"/>
    <w:rsid w:val="00137F00"/>
    <w:rsid w:val="00156235"/>
    <w:rsid w:val="00163F43"/>
    <w:rsid w:val="00177239"/>
    <w:rsid w:val="001842BA"/>
    <w:rsid w:val="00192717"/>
    <w:rsid w:val="00197FD5"/>
    <w:rsid w:val="001C1A4E"/>
    <w:rsid w:val="001C2BF6"/>
    <w:rsid w:val="001F25BC"/>
    <w:rsid w:val="0022602E"/>
    <w:rsid w:val="0024141F"/>
    <w:rsid w:val="00260A36"/>
    <w:rsid w:val="002667D2"/>
    <w:rsid w:val="00266F65"/>
    <w:rsid w:val="00294600"/>
    <w:rsid w:val="002A29BD"/>
    <w:rsid w:val="002B4C85"/>
    <w:rsid w:val="002B5B81"/>
    <w:rsid w:val="002B7BBC"/>
    <w:rsid w:val="002C06EB"/>
    <w:rsid w:val="002D11F8"/>
    <w:rsid w:val="002E36BC"/>
    <w:rsid w:val="002E6CEA"/>
    <w:rsid w:val="002F1447"/>
    <w:rsid w:val="002F5DC4"/>
    <w:rsid w:val="003102AC"/>
    <w:rsid w:val="0031173B"/>
    <w:rsid w:val="00322B17"/>
    <w:rsid w:val="00333CF9"/>
    <w:rsid w:val="003421D0"/>
    <w:rsid w:val="003511D0"/>
    <w:rsid w:val="003A47E9"/>
    <w:rsid w:val="003C1B8D"/>
    <w:rsid w:val="003C54AF"/>
    <w:rsid w:val="003F1046"/>
    <w:rsid w:val="003F7D6E"/>
    <w:rsid w:val="00400892"/>
    <w:rsid w:val="00413598"/>
    <w:rsid w:val="00417325"/>
    <w:rsid w:val="004276F7"/>
    <w:rsid w:val="004460EC"/>
    <w:rsid w:val="00452B6F"/>
    <w:rsid w:val="004971FC"/>
    <w:rsid w:val="004E62DF"/>
    <w:rsid w:val="004F7982"/>
    <w:rsid w:val="00502D4E"/>
    <w:rsid w:val="005159F8"/>
    <w:rsid w:val="005272A1"/>
    <w:rsid w:val="00527377"/>
    <w:rsid w:val="005657FF"/>
    <w:rsid w:val="005703C5"/>
    <w:rsid w:val="005705F3"/>
    <w:rsid w:val="0058146B"/>
    <w:rsid w:val="005B606D"/>
    <w:rsid w:val="005C1537"/>
    <w:rsid w:val="005D7095"/>
    <w:rsid w:val="005E1518"/>
    <w:rsid w:val="005E29B2"/>
    <w:rsid w:val="00613675"/>
    <w:rsid w:val="00620F34"/>
    <w:rsid w:val="00626EF7"/>
    <w:rsid w:val="00692378"/>
    <w:rsid w:val="006A05C1"/>
    <w:rsid w:val="006A735F"/>
    <w:rsid w:val="006E4BB7"/>
    <w:rsid w:val="006F17F9"/>
    <w:rsid w:val="006F625D"/>
    <w:rsid w:val="007019A3"/>
    <w:rsid w:val="00704CC7"/>
    <w:rsid w:val="00707204"/>
    <w:rsid w:val="00723403"/>
    <w:rsid w:val="007561BB"/>
    <w:rsid w:val="00786757"/>
    <w:rsid w:val="00795286"/>
    <w:rsid w:val="0079596C"/>
    <w:rsid w:val="007A0177"/>
    <w:rsid w:val="007C0710"/>
    <w:rsid w:val="007C4371"/>
    <w:rsid w:val="007E74AB"/>
    <w:rsid w:val="00800B97"/>
    <w:rsid w:val="00804BFB"/>
    <w:rsid w:val="008255C5"/>
    <w:rsid w:val="008438F8"/>
    <w:rsid w:val="00846AB6"/>
    <w:rsid w:val="00876F73"/>
    <w:rsid w:val="008913D4"/>
    <w:rsid w:val="00897281"/>
    <w:rsid w:val="008B6509"/>
    <w:rsid w:val="008D2ABD"/>
    <w:rsid w:val="008E5C65"/>
    <w:rsid w:val="00915E67"/>
    <w:rsid w:val="00923ADB"/>
    <w:rsid w:val="009547CC"/>
    <w:rsid w:val="00975BCC"/>
    <w:rsid w:val="00987A90"/>
    <w:rsid w:val="00991538"/>
    <w:rsid w:val="009B3C6D"/>
    <w:rsid w:val="009C4CF6"/>
    <w:rsid w:val="009C6D14"/>
    <w:rsid w:val="009F358A"/>
    <w:rsid w:val="00A01F1E"/>
    <w:rsid w:val="00A44999"/>
    <w:rsid w:val="00A747D2"/>
    <w:rsid w:val="00A7646E"/>
    <w:rsid w:val="00AB2CCD"/>
    <w:rsid w:val="00AD0467"/>
    <w:rsid w:val="00AE00CA"/>
    <w:rsid w:val="00AE1C39"/>
    <w:rsid w:val="00AE2E36"/>
    <w:rsid w:val="00AE61E4"/>
    <w:rsid w:val="00AE6E94"/>
    <w:rsid w:val="00AF2FD3"/>
    <w:rsid w:val="00AF78C2"/>
    <w:rsid w:val="00B143A4"/>
    <w:rsid w:val="00B368B3"/>
    <w:rsid w:val="00B57E7A"/>
    <w:rsid w:val="00B933F9"/>
    <w:rsid w:val="00BA60E3"/>
    <w:rsid w:val="00BD2FEB"/>
    <w:rsid w:val="00BD4AAB"/>
    <w:rsid w:val="00BE0F89"/>
    <w:rsid w:val="00C0166D"/>
    <w:rsid w:val="00C05861"/>
    <w:rsid w:val="00C12935"/>
    <w:rsid w:val="00C913C4"/>
    <w:rsid w:val="00CB68B6"/>
    <w:rsid w:val="00CD247B"/>
    <w:rsid w:val="00CE0919"/>
    <w:rsid w:val="00CF0193"/>
    <w:rsid w:val="00D4740F"/>
    <w:rsid w:val="00D47882"/>
    <w:rsid w:val="00DA0F58"/>
    <w:rsid w:val="00DD1F2C"/>
    <w:rsid w:val="00DE11BF"/>
    <w:rsid w:val="00DF7A67"/>
    <w:rsid w:val="00DF7EC9"/>
    <w:rsid w:val="00E103A5"/>
    <w:rsid w:val="00E235A4"/>
    <w:rsid w:val="00E4374F"/>
    <w:rsid w:val="00E448D1"/>
    <w:rsid w:val="00E52854"/>
    <w:rsid w:val="00E65028"/>
    <w:rsid w:val="00E9614B"/>
    <w:rsid w:val="00EC553C"/>
    <w:rsid w:val="00EC5F4C"/>
    <w:rsid w:val="00ED0B18"/>
    <w:rsid w:val="00ED19C2"/>
    <w:rsid w:val="00ED3902"/>
    <w:rsid w:val="00ED59EC"/>
    <w:rsid w:val="00EF2D0F"/>
    <w:rsid w:val="00F02071"/>
    <w:rsid w:val="00F17C43"/>
    <w:rsid w:val="00F303D8"/>
    <w:rsid w:val="00F31FFF"/>
    <w:rsid w:val="00F4126F"/>
    <w:rsid w:val="00F51976"/>
    <w:rsid w:val="00F64909"/>
    <w:rsid w:val="00F64A97"/>
    <w:rsid w:val="00F700A8"/>
    <w:rsid w:val="00F843A5"/>
    <w:rsid w:val="00F84C1A"/>
    <w:rsid w:val="00FE79F1"/>
    <w:rsid w:val="00FF4EFC"/>
    <w:rsid w:val="064A30CB"/>
    <w:rsid w:val="0ACFF42B"/>
    <w:rsid w:val="13473905"/>
    <w:rsid w:val="180181CB"/>
    <w:rsid w:val="200C93B0"/>
    <w:rsid w:val="234C21F8"/>
    <w:rsid w:val="281F931B"/>
    <w:rsid w:val="28F2402B"/>
    <w:rsid w:val="31F2A89A"/>
    <w:rsid w:val="32992271"/>
    <w:rsid w:val="355D0C92"/>
    <w:rsid w:val="35D0C333"/>
    <w:rsid w:val="42B733C1"/>
    <w:rsid w:val="6D861B32"/>
    <w:rsid w:val="7F4979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6CFD46"/>
  <w15:chartTrackingRefBased/>
  <w15:docId w15:val="{8D4EC8E1-97E6-49CE-A314-FD68667D6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1976"/>
    <w:rPr>
      <w:rFonts w:ascii="Calibri" w:hAnsi="Calibri"/>
      <w:sz w:val="24"/>
    </w:rPr>
  </w:style>
  <w:style w:type="paragraph" w:styleId="Heading1">
    <w:name w:val="heading 1"/>
    <w:basedOn w:val="Normal"/>
    <w:next w:val="Normal"/>
    <w:link w:val="Heading1Char"/>
    <w:uiPriority w:val="9"/>
    <w:qFormat/>
    <w:rsid w:val="00F51976"/>
    <w:pPr>
      <w:keepNext/>
      <w:keepLines/>
      <w:spacing w:before="240" w:after="0"/>
      <w:outlineLvl w:val="0"/>
    </w:pPr>
    <w:rPr>
      <w:rFonts w:eastAsiaTheme="majorEastAsia"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F5197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2FEB"/>
    <w:rPr>
      <w:color w:val="0563C1" w:themeColor="hyperlink"/>
      <w:u w:val="single"/>
    </w:rPr>
  </w:style>
  <w:style w:type="character" w:styleId="UnresolvedMention">
    <w:name w:val="Unresolved Mention"/>
    <w:basedOn w:val="DefaultParagraphFont"/>
    <w:uiPriority w:val="99"/>
    <w:semiHidden/>
    <w:unhideWhenUsed/>
    <w:rsid w:val="00BD2FEB"/>
    <w:rPr>
      <w:color w:val="605E5C"/>
      <w:shd w:val="clear" w:color="auto" w:fill="E1DFDD"/>
    </w:rPr>
  </w:style>
  <w:style w:type="table" w:styleId="TableGrid">
    <w:name w:val="Table Grid"/>
    <w:basedOn w:val="TableNormal"/>
    <w:uiPriority w:val="39"/>
    <w:rsid w:val="00BD2F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1976"/>
    <w:pPr>
      <w:spacing w:after="0" w:line="240" w:lineRule="auto"/>
      <w:ind w:left="720"/>
      <w:contextualSpacing/>
    </w:pPr>
    <w:rPr>
      <w:rFonts w:eastAsia="Times New Roman" w:cs="Times New Roman"/>
      <w:szCs w:val="20"/>
      <w:lang w:eastAsia="en-AU"/>
    </w:rPr>
  </w:style>
  <w:style w:type="character" w:styleId="CommentReference">
    <w:name w:val="annotation reference"/>
    <w:basedOn w:val="DefaultParagraphFont"/>
    <w:uiPriority w:val="99"/>
    <w:semiHidden/>
    <w:unhideWhenUsed/>
    <w:rsid w:val="001F25BC"/>
    <w:rPr>
      <w:sz w:val="16"/>
      <w:szCs w:val="16"/>
    </w:rPr>
  </w:style>
  <w:style w:type="paragraph" w:styleId="CommentText">
    <w:name w:val="annotation text"/>
    <w:basedOn w:val="Normal"/>
    <w:link w:val="CommentTextChar"/>
    <w:uiPriority w:val="99"/>
    <w:semiHidden/>
    <w:unhideWhenUsed/>
    <w:rsid w:val="001F25BC"/>
    <w:pPr>
      <w:spacing w:line="240" w:lineRule="auto"/>
    </w:pPr>
    <w:rPr>
      <w:sz w:val="20"/>
      <w:szCs w:val="20"/>
    </w:rPr>
  </w:style>
  <w:style w:type="character" w:customStyle="1" w:styleId="CommentTextChar">
    <w:name w:val="Comment Text Char"/>
    <w:basedOn w:val="DefaultParagraphFont"/>
    <w:link w:val="CommentText"/>
    <w:uiPriority w:val="99"/>
    <w:semiHidden/>
    <w:rsid w:val="001F25BC"/>
    <w:rPr>
      <w:sz w:val="20"/>
      <w:szCs w:val="20"/>
    </w:rPr>
  </w:style>
  <w:style w:type="paragraph" w:styleId="CommentSubject">
    <w:name w:val="annotation subject"/>
    <w:basedOn w:val="CommentText"/>
    <w:next w:val="CommentText"/>
    <w:link w:val="CommentSubjectChar"/>
    <w:uiPriority w:val="99"/>
    <w:semiHidden/>
    <w:unhideWhenUsed/>
    <w:rsid w:val="001F25BC"/>
    <w:rPr>
      <w:b/>
      <w:bCs/>
    </w:rPr>
  </w:style>
  <w:style w:type="character" w:customStyle="1" w:styleId="CommentSubjectChar">
    <w:name w:val="Comment Subject Char"/>
    <w:basedOn w:val="CommentTextChar"/>
    <w:link w:val="CommentSubject"/>
    <w:uiPriority w:val="99"/>
    <w:semiHidden/>
    <w:rsid w:val="001F25BC"/>
    <w:rPr>
      <w:b/>
      <w:bCs/>
      <w:sz w:val="20"/>
      <w:szCs w:val="20"/>
    </w:rPr>
  </w:style>
  <w:style w:type="paragraph" w:styleId="Header">
    <w:name w:val="header"/>
    <w:basedOn w:val="Normal"/>
    <w:link w:val="HeaderChar"/>
    <w:uiPriority w:val="99"/>
    <w:unhideWhenUsed/>
    <w:rsid w:val="00876F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6F73"/>
  </w:style>
  <w:style w:type="paragraph" w:styleId="Footer">
    <w:name w:val="footer"/>
    <w:basedOn w:val="Normal"/>
    <w:link w:val="FooterChar"/>
    <w:uiPriority w:val="99"/>
    <w:unhideWhenUsed/>
    <w:rsid w:val="00876F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6F73"/>
  </w:style>
  <w:style w:type="paragraph" w:styleId="Title">
    <w:name w:val="Title"/>
    <w:basedOn w:val="Normal"/>
    <w:next w:val="Normal"/>
    <w:link w:val="TitleChar"/>
    <w:uiPriority w:val="10"/>
    <w:qFormat/>
    <w:rsid w:val="00F5197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1976"/>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F51976"/>
    <w:rPr>
      <w:rFonts w:ascii="Calibri" w:eastAsiaTheme="majorEastAsia" w:hAnsi="Calibri" w:cstheme="majorBidi"/>
      <w:b/>
      <w:color w:val="2F5496" w:themeColor="accent1" w:themeShade="BF"/>
      <w:sz w:val="32"/>
      <w:szCs w:val="32"/>
    </w:rPr>
  </w:style>
  <w:style w:type="character" w:customStyle="1" w:styleId="Heading2Char">
    <w:name w:val="Heading 2 Char"/>
    <w:basedOn w:val="DefaultParagraphFont"/>
    <w:link w:val="Heading2"/>
    <w:uiPriority w:val="9"/>
    <w:rsid w:val="00F51976"/>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evelopment.Engineering@whittlesea.vic.gov.a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0f84bba906045b4af568ee102a52dcb xmlns="92787e6e-4484-4d2c-bb8b-1b62aafa6aa3">
      <Terms xmlns="http://schemas.microsoft.com/office/infopath/2007/PartnerControls">
        <TermInfo xmlns="http://schemas.microsoft.com/office/infopath/2007/PartnerControls">
          <TermName xmlns="http://schemas.microsoft.com/office/infopath/2007/PartnerControls">Department</TermName>
          <TermId xmlns="http://schemas.microsoft.com/office/infopath/2007/PartnerControls">2fc4e887-a0f5-41de-af45-e0f67b22cd90</TermId>
        </TermInfo>
      </Terms>
    </i0f84bba906045b4af568ee102a52dcb>
    <TaxCatchAll xmlns="b5ab500d-7bfe-40cf-9816-28aa26f562a5">
      <Value>23</Value>
    </TaxCatchAll>
    <lcf76f155ced4ddcb4097134ff3c332f xmlns="805b898d-a77d-445e-a841-92fbabd5202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D9E9AFF8A78C640BA8EA4919B914D1D" ma:contentTypeVersion="18" ma:contentTypeDescription="Create a new document." ma:contentTypeScope="" ma:versionID="34d464f9b2d29d6c667b017ee623fbbc">
  <xsd:schema xmlns:xsd="http://www.w3.org/2001/XMLSchema" xmlns:xs="http://www.w3.org/2001/XMLSchema" xmlns:p="http://schemas.microsoft.com/office/2006/metadata/properties" xmlns:ns2="805b898d-a77d-445e-a841-92fbabd52022" xmlns:ns3="92787e6e-4484-4d2c-bb8b-1b62aafa6aa3" xmlns:ns4="b5ab500d-7bfe-40cf-9816-28aa26f562a5" targetNamespace="http://schemas.microsoft.com/office/2006/metadata/properties" ma:root="true" ma:fieldsID="9c33442cd220bde332bb1ee9eded7cd0" ns2:_="" ns3:_="" ns4:_="">
    <xsd:import namespace="805b898d-a77d-445e-a841-92fbabd52022"/>
    <xsd:import namespace="92787e6e-4484-4d2c-bb8b-1b62aafa6aa3"/>
    <xsd:import namespace="b5ab500d-7bfe-40cf-9816-28aa26f562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MediaServiceLocation" minOccurs="0"/>
                <xsd:element ref="ns3:i0f84bba906045b4af568ee102a52dcb" minOccurs="0"/>
                <xsd:element ref="ns4:TaxCatchAll"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5b898d-a77d-445e-a841-92fbabd520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f0da9af-39e6-461a-ae38-00e505ac4b4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787e6e-4484-4d2c-bb8b-1b62aafa6aa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BCS" ma:indexed="true" ma:default="23;#Department|2fc4e887-a0f5-41de-af45-e0f67b22cd90" ma:fieldId="{20f84bba-9060-45b4-af56-8ee102a52dcb}" ma:sspId="df0da9af-39e6-461a-ae38-00e505ac4b4c" ma:termSetId="71c3a959-f331-42aa-af14-25d5e89fe4ec" ma:anchorId="26d2f48d-4699-4bd4-b831-a609ee2cfd8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5ab500d-7bfe-40cf-9816-28aa26f562a5"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f85a18ca-672e-4613-be29-ac70e1d38a1f}" ma:internalName="TaxCatchAll" ma:showField="CatchAllData" ma:web="92787e6e-4484-4d2c-bb8b-1b62aafa6a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28DFD1-AB09-46CC-BB6F-960CAC0264A0}">
  <ds:schemaRefs>
    <ds:schemaRef ds:uri="http://schemas.microsoft.com/office/2006/metadata/properties"/>
    <ds:schemaRef ds:uri="http://schemas.microsoft.com/office/infopath/2007/PartnerControls"/>
    <ds:schemaRef ds:uri="92787e6e-4484-4d2c-bb8b-1b62aafa6aa3"/>
    <ds:schemaRef ds:uri="b5ab500d-7bfe-40cf-9816-28aa26f562a5"/>
    <ds:schemaRef ds:uri="805b898d-a77d-445e-a841-92fbabd52022"/>
  </ds:schemaRefs>
</ds:datastoreItem>
</file>

<file path=customXml/itemProps2.xml><?xml version="1.0" encoding="utf-8"?>
<ds:datastoreItem xmlns:ds="http://schemas.openxmlformats.org/officeDocument/2006/customXml" ds:itemID="{84C5F526-70EF-45FA-90DC-CBB256BE1F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5b898d-a77d-445e-a841-92fbabd52022"/>
    <ds:schemaRef ds:uri="92787e6e-4484-4d2c-bb8b-1b62aafa6aa3"/>
    <ds:schemaRef ds:uri="b5ab500d-7bfe-40cf-9816-28aa26f562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7F5474-8CC5-4041-8AE5-0A0B02FB00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967</Words>
  <Characters>5512</Characters>
  <Application>Microsoft Office Word</Application>
  <DocSecurity>0</DocSecurity>
  <Lines>45</Lines>
  <Paragraphs>12</Paragraphs>
  <ScaleCrop>false</ScaleCrop>
  <Company/>
  <LinksUpToDate>false</LinksUpToDate>
  <CharactersWithSpaces>6467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Mitchell Shire Council</dc:title>
  <dc:subject/>
  <dc:creator>Tanja O’Keefe</dc:creator>
  <cp:keywords/>
  <dc:description/>
  <cp:lastModifiedBy>Melissa Briganti</cp:lastModifiedBy>
  <cp:revision>3</cp:revision>
  <cp:lastPrinted>2022-06-02T01:49:00Z</cp:lastPrinted>
  <dcterms:created xsi:type="dcterms:W3CDTF">2022-06-02T01:48:00Z</dcterms:created>
  <dcterms:modified xsi:type="dcterms:W3CDTF">2022-06-02T01:49:00Z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0x0101008D9E9AFF8A78C640BA8EA4919B914D1D</vt:lpwstr>
  </property>
  <property fmtid="{D5CDD505-2E9C-101B-9397-08002B2CF9AE}" pid="3" name="RevIMBCS">
    <vt:lpwstr>23;#Department|2fc4e887-a0f5-41de-af45-e0f67b22cd90</vt:lpwstr>
  </property>
  <property fmtid="{D5CDD505-2E9C-101B-9397-08002B2CF9AE}" pid="4" name="MediaServiceImageTags">
    <vt:lpwstr/>
  </property>
</Properties>
</file>