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1141C" w14:textId="77777777" w:rsidR="004549C2" w:rsidRDefault="004549C2" w:rsidP="00133E0C">
      <w:pPr>
        <w:autoSpaceDE w:val="0"/>
        <w:autoSpaceDN w:val="0"/>
        <w:adjustRightInd w:val="0"/>
        <w:spacing w:after="0" w:line="240" w:lineRule="auto"/>
        <w:jc w:val="both"/>
        <w:rPr>
          <w:rFonts w:ascii="Arial" w:hAnsi="Arial" w:cs="Arial"/>
          <w:b/>
          <w:bCs/>
        </w:rPr>
      </w:pPr>
    </w:p>
    <w:p w14:paraId="00B918C2" w14:textId="77777777" w:rsidR="004549C2" w:rsidRDefault="004549C2" w:rsidP="00133E0C">
      <w:pPr>
        <w:autoSpaceDE w:val="0"/>
        <w:autoSpaceDN w:val="0"/>
        <w:adjustRightInd w:val="0"/>
        <w:spacing w:after="0" w:line="240" w:lineRule="auto"/>
        <w:jc w:val="both"/>
        <w:rPr>
          <w:rFonts w:ascii="Arial" w:hAnsi="Arial" w:cs="Arial"/>
          <w:b/>
          <w:bCs/>
        </w:rPr>
      </w:pPr>
    </w:p>
    <w:p w14:paraId="4D7C81BE" w14:textId="77777777" w:rsidR="004549C2" w:rsidRDefault="004549C2" w:rsidP="00133E0C">
      <w:pPr>
        <w:autoSpaceDE w:val="0"/>
        <w:autoSpaceDN w:val="0"/>
        <w:adjustRightInd w:val="0"/>
        <w:spacing w:after="0" w:line="240" w:lineRule="auto"/>
        <w:jc w:val="both"/>
        <w:rPr>
          <w:rFonts w:ascii="Arial" w:hAnsi="Arial" w:cs="Arial"/>
          <w:b/>
          <w:bCs/>
        </w:rPr>
      </w:pPr>
    </w:p>
    <w:p w14:paraId="6E5CD1D0" w14:textId="73DE62DE" w:rsidR="002416E8" w:rsidRPr="004549C2" w:rsidRDefault="00133E0C" w:rsidP="00133E0C">
      <w:pPr>
        <w:autoSpaceDE w:val="0"/>
        <w:autoSpaceDN w:val="0"/>
        <w:adjustRightInd w:val="0"/>
        <w:spacing w:after="0" w:line="240" w:lineRule="auto"/>
        <w:jc w:val="both"/>
        <w:rPr>
          <w:rFonts w:ascii="Arial" w:hAnsi="Arial" w:cs="Arial"/>
          <w:b/>
          <w:bCs/>
          <w:sz w:val="28"/>
          <w:szCs w:val="28"/>
        </w:rPr>
      </w:pPr>
      <w:r>
        <w:rPr>
          <w:rFonts w:ascii="Arial" w:hAnsi="Arial" w:cs="Arial"/>
          <w:b/>
          <w:bCs/>
          <w:sz w:val="28"/>
          <w:szCs w:val="28"/>
        </w:rPr>
        <w:t>PERMEABILITY</w:t>
      </w:r>
    </w:p>
    <w:p w14:paraId="79EA00C9" w14:textId="77777777" w:rsidR="002416E8" w:rsidRPr="002416E8" w:rsidRDefault="002416E8" w:rsidP="00133E0C">
      <w:pPr>
        <w:autoSpaceDE w:val="0"/>
        <w:autoSpaceDN w:val="0"/>
        <w:adjustRightInd w:val="0"/>
        <w:spacing w:after="0" w:line="240" w:lineRule="auto"/>
        <w:jc w:val="both"/>
        <w:rPr>
          <w:rFonts w:ascii="Arial" w:hAnsi="Arial" w:cs="Arial"/>
          <w:b/>
          <w:bCs/>
        </w:rPr>
      </w:pPr>
    </w:p>
    <w:p w14:paraId="2690686A" w14:textId="77777777" w:rsidR="004549C2" w:rsidRDefault="004549C2" w:rsidP="00133E0C">
      <w:pPr>
        <w:autoSpaceDE w:val="0"/>
        <w:autoSpaceDN w:val="0"/>
        <w:adjustRightInd w:val="0"/>
        <w:spacing w:after="0" w:line="240" w:lineRule="auto"/>
        <w:jc w:val="both"/>
        <w:rPr>
          <w:rFonts w:ascii="Arial" w:hAnsi="Arial" w:cs="Arial"/>
          <w:b/>
          <w:bCs/>
        </w:rPr>
      </w:pPr>
    </w:p>
    <w:p w14:paraId="079654C6" w14:textId="5A04FADF" w:rsidR="004549C2" w:rsidRDefault="004549C2" w:rsidP="00133E0C">
      <w:pPr>
        <w:autoSpaceDE w:val="0"/>
        <w:autoSpaceDN w:val="0"/>
        <w:adjustRightInd w:val="0"/>
        <w:spacing w:after="0" w:line="240" w:lineRule="auto"/>
        <w:jc w:val="both"/>
        <w:rPr>
          <w:b/>
          <w:bCs/>
          <w:sz w:val="23"/>
          <w:szCs w:val="23"/>
        </w:rPr>
      </w:pPr>
      <w:r w:rsidRPr="004549C2">
        <w:rPr>
          <w:rFonts w:ascii="Arial" w:hAnsi="Arial" w:cs="Arial"/>
          <w:b/>
          <w:bCs/>
        </w:rPr>
        <w:t>Purpose of this Guideline and Interpretation</w:t>
      </w:r>
      <w:r>
        <w:rPr>
          <w:b/>
          <w:bCs/>
          <w:sz w:val="23"/>
          <w:szCs w:val="23"/>
        </w:rPr>
        <w:t xml:space="preserve"> </w:t>
      </w:r>
    </w:p>
    <w:p w14:paraId="0C192A00" w14:textId="77777777" w:rsidR="004549C2" w:rsidRDefault="004549C2" w:rsidP="00133E0C">
      <w:pPr>
        <w:autoSpaceDE w:val="0"/>
        <w:autoSpaceDN w:val="0"/>
        <w:adjustRightInd w:val="0"/>
        <w:spacing w:after="0" w:line="240" w:lineRule="auto"/>
        <w:jc w:val="both"/>
        <w:rPr>
          <w:sz w:val="23"/>
          <w:szCs w:val="23"/>
        </w:rPr>
      </w:pPr>
    </w:p>
    <w:p w14:paraId="2D3EF4CA" w14:textId="0F705A92" w:rsidR="004549C2" w:rsidRDefault="004549C2" w:rsidP="00133E0C">
      <w:pPr>
        <w:pStyle w:val="Default"/>
        <w:jc w:val="both"/>
        <w:rPr>
          <w:sz w:val="20"/>
          <w:szCs w:val="20"/>
        </w:rPr>
      </w:pPr>
      <w:r>
        <w:rPr>
          <w:sz w:val="20"/>
          <w:szCs w:val="20"/>
        </w:rPr>
        <w:t>The purpose of this Guideline is to set out the matters to be considered by a reporting authority when preparing a report on, and considering whether to consent to, (</w:t>
      </w:r>
      <w:r>
        <w:rPr>
          <w:b/>
          <w:bCs/>
          <w:sz w:val="20"/>
          <w:szCs w:val="20"/>
        </w:rPr>
        <w:t>report and consent</w:t>
      </w:r>
      <w:r>
        <w:rPr>
          <w:sz w:val="20"/>
          <w:szCs w:val="20"/>
        </w:rPr>
        <w:t>) a variation to the siting, design and access requirements prescribed under Part 5 of the Building Regulations 2018 (</w:t>
      </w:r>
      <w:r>
        <w:rPr>
          <w:b/>
          <w:bCs/>
          <w:sz w:val="20"/>
          <w:szCs w:val="20"/>
        </w:rPr>
        <w:t>Regulations</w:t>
      </w:r>
      <w:r>
        <w:rPr>
          <w:sz w:val="20"/>
          <w:szCs w:val="20"/>
        </w:rPr>
        <w:t xml:space="preserve">), for an application for a building permit for a single dwelling, including a principal single dwelling, a small second dwelling or a front fence. </w:t>
      </w:r>
    </w:p>
    <w:p w14:paraId="644F3A4D" w14:textId="77777777" w:rsidR="00A14BEA" w:rsidRDefault="00A14BEA" w:rsidP="00133E0C">
      <w:pPr>
        <w:pStyle w:val="Default"/>
        <w:jc w:val="both"/>
        <w:rPr>
          <w:sz w:val="20"/>
          <w:szCs w:val="20"/>
        </w:rPr>
      </w:pPr>
    </w:p>
    <w:p w14:paraId="6341C073" w14:textId="77777777" w:rsidR="004549C2" w:rsidRDefault="004549C2" w:rsidP="00133E0C">
      <w:pPr>
        <w:pStyle w:val="Default"/>
        <w:jc w:val="both"/>
        <w:rPr>
          <w:sz w:val="20"/>
          <w:szCs w:val="20"/>
        </w:rPr>
      </w:pPr>
      <w:r>
        <w:rPr>
          <w:sz w:val="20"/>
          <w:szCs w:val="20"/>
        </w:rPr>
        <w:t xml:space="preserve">Each provision of this Guideline comprises a statement of the objective and the matters to be considered when deciding whether the objective is met. Under clause 4A of Schedule 2 of the Act, a reporting authority must have regard to the guidelines made under section 188A in the cases set out in that clause. </w:t>
      </w:r>
      <w:r w:rsidRPr="00D31C1B">
        <w:rPr>
          <w:b/>
          <w:bCs/>
          <w:sz w:val="20"/>
          <w:szCs w:val="20"/>
        </w:rPr>
        <w:t>If any matter set out in this Guideline is not met, clause 4A(2)(d) of Schedule 2 to the Act requires that the reporting authority must refuse to give its consent to an application for a building permit</w:t>
      </w:r>
      <w:r>
        <w:rPr>
          <w:sz w:val="20"/>
          <w:szCs w:val="20"/>
        </w:rPr>
        <w:t xml:space="preserve">. </w:t>
      </w:r>
    </w:p>
    <w:p w14:paraId="6C80D829" w14:textId="39548F0A" w:rsidR="004549C2" w:rsidRDefault="004549C2" w:rsidP="00133E0C">
      <w:pPr>
        <w:pStyle w:val="Default"/>
        <w:jc w:val="both"/>
        <w:rPr>
          <w:sz w:val="20"/>
          <w:szCs w:val="20"/>
        </w:rPr>
      </w:pPr>
      <w:r>
        <w:rPr>
          <w:sz w:val="20"/>
          <w:szCs w:val="20"/>
        </w:rPr>
        <w:t xml:space="preserve">In this Guideline— </w:t>
      </w:r>
    </w:p>
    <w:p w14:paraId="7C003E9B" w14:textId="77777777" w:rsidR="004549C2" w:rsidRDefault="004549C2" w:rsidP="00133E0C">
      <w:pPr>
        <w:pStyle w:val="Default"/>
        <w:jc w:val="both"/>
        <w:rPr>
          <w:sz w:val="20"/>
          <w:szCs w:val="20"/>
        </w:rPr>
      </w:pPr>
    </w:p>
    <w:p w14:paraId="25F19BAD" w14:textId="77777777" w:rsidR="004549C2" w:rsidRDefault="004549C2" w:rsidP="00133E0C">
      <w:pPr>
        <w:pStyle w:val="Default"/>
        <w:spacing w:after="117"/>
        <w:ind w:firstLine="720"/>
        <w:jc w:val="both"/>
        <w:rPr>
          <w:sz w:val="20"/>
          <w:szCs w:val="20"/>
        </w:rPr>
      </w:pPr>
      <w:r>
        <w:rPr>
          <w:sz w:val="20"/>
          <w:szCs w:val="20"/>
        </w:rPr>
        <w:t xml:space="preserve">• </w:t>
      </w:r>
      <w:r>
        <w:rPr>
          <w:b/>
          <w:bCs/>
          <w:i/>
          <w:iCs/>
          <w:sz w:val="20"/>
          <w:szCs w:val="20"/>
        </w:rPr>
        <w:t xml:space="preserve">existing dwelling </w:t>
      </w:r>
      <w:r>
        <w:rPr>
          <w:sz w:val="20"/>
          <w:szCs w:val="20"/>
        </w:rPr>
        <w:t xml:space="preserve">is a single dwelling that is already </w:t>
      </w:r>
      <w:proofErr w:type="gramStart"/>
      <w:r>
        <w:rPr>
          <w:sz w:val="20"/>
          <w:szCs w:val="20"/>
        </w:rPr>
        <w:t>constructed;</w:t>
      </w:r>
      <w:proofErr w:type="gramEnd"/>
      <w:r>
        <w:rPr>
          <w:sz w:val="20"/>
          <w:szCs w:val="20"/>
        </w:rPr>
        <w:t xml:space="preserve"> </w:t>
      </w:r>
    </w:p>
    <w:p w14:paraId="40EDFC36" w14:textId="77777777" w:rsidR="004549C2" w:rsidRDefault="004549C2" w:rsidP="00133E0C">
      <w:pPr>
        <w:pStyle w:val="Default"/>
        <w:spacing w:after="117"/>
        <w:ind w:left="720"/>
        <w:jc w:val="both"/>
        <w:rPr>
          <w:sz w:val="20"/>
          <w:szCs w:val="20"/>
        </w:rPr>
      </w:pPr>
      <w:r>
        <w:rPr>
          <w:sz w:val="20"/>
          <w:szCs w:val="20"/>
        </w:rPr>
        <w:t xml:space="preserve">• </w:t>
      </w:r>
      <w:r>
        <w:rPr>
          <w:b/>
          <w:bCs/>
          <w:i/>
          <w:iCs/>
          <w:sz w:val="20"/>
          <w:szCs w:val="20"/>
        </w:rPr>
        <w:t xml:space="preserve">principal single dwelling </w:t>
      </w:r>
      <w:r>
        <w:rPr>
          <w:sz w:val="20"/>
          <w:szCs w:val="20"/>
        </w:rPr>
        <w:t xml:space="preserve">is a single dwelling that is not a small second dwelling or a front </w:t>
      </w:r>
      <w:proofErr w:type="gramStart"/>
      <w:r>
        <w:rPr>
          <w:sz w:val="20"/>
          <w:szCs w:val="20"/>
        </w:rPr>
        <w:t>fence;</w:t>
      </w:r>
      <w:proofErr w:type="gramEnd"/>
      <w:r>
        <w:rPr>
          <w:sz w:val="20"/>
          <w:szCs w:val="20"/>
        </w:rPr>
        <w:t xml:space="preserve"> </w:t>
      </w:r>
    </w:p>
    <w:p w14:paraId="04F17E96" w14:textId="77777777" w:rsidR="004549C2" w:rsidRDefault="004549C2" w:rsidP="00133E0C">
      <w:pPr>
        <w:pStyle w:val="Default"/>
        <w:spacing w:after="117"/>
        <w:ind w:firstLine="720"/>
        <w:jc w:val="both"/>
        <w:rPr>
          <w:sz w:val="20"/>
          <w:szCs w:val="20"/>
        </w:rPr>
      </w:pPr>
      <w:r>
        <w:rPr>
          <w:sz w:val="20"/>
          <w:szCs w:val="20"/>
        </w:rPr>
        <w:t xml:space="preserve">• </w:t>
      </w:r>
      <w:r>
        <w:rPr>
          <w:b/>
          <w:bCs/>
          <w:i/>
          <w:iCs/>
          <w:sz w:val="20"/>
          <w:szCs w:val="20"/>
        </w:rPr>
        <w:t xml:space="preserve">Regulations </w:t>
      </w:r>
      <w:r>
        <w:rPr>
          <w:sz w:val="20"/>
          <w:szCs w:val="20"/>
        </w:rPr>
        <w:t xml:space="preserve">means the </w:t>
      </w:r>
      <w:r>
        <w:rPr>
          <w:i/>
          <w:iCs/>
          <w:sz w:val="20"/>
          <w:szCs w:val="20"/>
        </w:rPr>
        <w:t xml:space="preserve">Building Regulations </w:t>
      </w:r>
      <w:proofErr w:type="gramStart"/>
      <w:r>
        <w:rPr>
          <w:i/>
          <w:iCs/>
          <w:sz w:val="20"/>
          <w:szCs w:val="20"/>
        </w:rPr>
        <w:t>2018</w:t>
      </w:r>
      <w:r>
        <w:rPr>
          <w:sz w:val="20"/>
          <w:szCs w:val="20"/>
        </w:rPr>
        <w:t>;</w:t>
      </w:r>
      <w:proofErr w:type="gramEnd"/>
      <w:r>
        <w:rPr>
          <w:sz w:val="20"/>
          <w:szCs w:val="20"/>
        </w:rPr>
        <w:t xml:space="preserve"> </w:t>
      </w:r>
    </w:p>
    <w:p w14:paraId="3F91E13C" w14:textId="77777777" w:rsidR="004549C2" w:rsidRDefault="004549C2" w:rsidP="00133E0C">
      <w:pPr>
        <w:pStyle w:val="Default"/>
        <w:spacing w:after="117"/>
        <w:ind w:left="720"/>
        <w:jc w:val="both"/>
        <w:rPr>
          <w:sz w:val="20"/>
          <w:szCs w:val="20"/>
        </w:rPr>
      </w:pPr>
      <w:r>
        <w:rPr>
          <w:sz w:val="20"/>
          <w:szCs w:val="20"/>
        </w:rPr>
        <w:t xml:space="preserve">• </w:t>
      </w:r>
      <w:r>
        <w:rPr>
          <w:b/>
          <w:bCs/>
          <w:i/>
          <w:iCs/>
          <w:sz w:val="20"/>
          <w:szCs w:val="20"/>
        </w:rPr>
        <w:t xml:space="preserve">single dwelling </w:t>
      </w:r>
      <w:r>
        <w:rPr>
          <w:sz w:val="20"/>
          <w:szCs w:val="20"/>
        </w:rPr>
        <w:t>has the same meaning as it has under section 188</w:t>
      </w:r>
      <w:proofErr w:type="gramStart"/>
      <w:r>
        <w:rPr>
          <w:sz w:val="20"/>
          <w:szCs w:val="20"/>
        </w:rPr>
        <w:t>A(</w:t>
      </w:r>
      <w:proofErr w:type="gramEnd"/>
      <w:r>
        <w:rPr>
          <w:sz w:val="20"/>
          <w:szCs w:val="20"/>
        </w:rPr>
        <w:t xml:space="preserve">4) of the Act and regulation 70 of the Regulations: a building, or buildings, which is a Class 1 building and any Class 10 building associated with a Class 1 building, that is or are intended to be used as a dwelling; </w:t>
      </w:r>
    </w:p>
    <w:p w14:paraId="341AC1D3" w14:textId="3C6CE9DD" w:rsidR="004549C2" w:rsidRPr="004549C2" w:rsidRDefault="004549C2" w:rsidP="00133E0C">
      <w:pPr>
        <w:pStyle w:val="Default"/>
        <w:ind w:left="720"/>
        <w:jc w:val="both"/>
        <w:rPr>
          <w:sz w:val="20"/>
          <w:szCs w:val="20"/>
        </w:rPr>
      </w:pPr>
      <w:r>
        <w:rPr>
          <w:sz w:val="20"/>
          <w:szCs w:val="20"/>
        </w:rPr>
        <w:t xml:space="preserve">• </w:t>
      </w:r>
      <w:r>
        <w:rPr>
          <w:b/>
          <w:bCs/>
          <w:i/>
          <w:iCs/>
          <w:sz w:val="20"/>
          <w:szCs w:val="20"/>
        </w:rPr>
        <w:t xml:space="preserve">small second dwelling </w:t>
      </w:r>
      <w:r>
        <w:rPr>
          <w:sz w:val="20"/>
          <w:szCs w:val="20"/>
        </w:rPr>
        <w:t xml:space="preserve">has the same meaning as it has under regulation 5 of the Regulations. (A </w:t>
      </w:r>
      <w:r>
        <w:rPr>
          <w:b/>
          <w:bCs/>
          <w:i/>
          <w:iCs/>
          <w:sz w:val="20"/>
          <w:szCs w:val="20"/>
        </w:rPr>
        <w:t xml:space="preserve">small second dwelling </w:t>
      </w:r>
      <w:r>
        <w:rPr>
          <w:sz w:val="20"/>
          <w:szCs w:val="20"/>
        </w:rPr>
        <w:t>is defined to mean a Class 1a building that is self-contained and has a gross floor area that is equal to or less than 60 m</w:t>
      </w:r>
      <w:r>
        <w:rPr>
          <w:sz w:val="13"/>
          <w:szCs w:val="13"/>
        </w:rPr>
        <w:t xml:space="preserve">2 </w:t>
      </w:r>
      <w:r>
        <w:rPr>
          <w:sz w:val="20"/>
          <w:szCs w:val="20"/>
        </w:rPr>
        <w:t xml:space="preserve">on the same allotment as an existing building that is a single Class 1 building that is not a small second dwelling). </w:t>
      </w:r>
    </w:p>
    <w:p w14:paraId="2D35C8B9" w14:textId="77777777" w:rsidR="004549C2" w:rsidRPr="002416E8" w:rsidRDefault="004549C2" w:rsidP="00133E0C">
      <w:pPr>
        <w:autoSpaceDE w:val="0"/>
        <w:autoSpaceDN w:val="0"/>
        <w:adjustRightInd w:val="0"/>
        <w:spacing w:after="0" w:line="240" w:lineRule="auto"/>
        <w:jc w:val="both"/>
        <w:rPr>
          <w:rFonts w:ascii="Arial" w:hAnsi="Arial" w:cs="Arial"/>
          <w:b/>
          <w:bCs/>
        </w:rPr>
      </w:pPr>
    </w:p>
    <w:p w14:paraId="212D1256" w14:textId="0D0280FA" w:rsidR="002416E8" w:rsidRDefault="002416E8" w:rsidP="00133E0C">
      <w:pPr>
        <w:autoSpaceDE w:val="0"/>
        <w:autoSpaceDN w:val="0"/>
        <w:adjustRightInd w:val="0"/>
        <w:spacing w:after="0" w:line="240" w:lineRule="auto"/>
        <w:jc w:val="both"/>
        <w:rPr>
          <w:rFonts w:ascii="Arial" w:hAnsi="Arial" w:cs="Arial"/>
          <w:b/>
          <w:bCs/>
        </w:rPr>
      </w:pPr>
      <w:r w:rsidRPr="002416E8">
        <w:rPr>
          <w:rFonts w:ascii="Arial" w:hAnsi="Arial" w:cs="Arial"/>
          <w:b/>
          <w:bCs/>
        </w:rPr>
        <w:t>Objective</w:t>
      </w:r>
    </w:p>
    <w:p w14:paraId="592535B2" w14:textId="6A8AC203" w:rsidR="002416E8" w:rsidRDefault="002416E8" w:rsidP="00133E0C">
      <w:pPr>
        <w:autoSpaceDE w:val="0"/>
        <w:autoSpaceDN w:val="0"/>
        <w:adjustRightInd w:val="0"/>
        <w:spacing w:after="0" w:line="240" w:lineRule="auto"/>
        <w:jc w:val="both"/>
        <w:rPr>
          <w:rFonts w:ascii="Arial" w:hAnsi="Arial" w:cs="Arial"/>
          <w:b/>
          <w:bCs/>
        </w:rPr>
      </w:pPr>
    </w:p>
    <w:p w14:paraId="37D6C142" w14:textId="35245AC6" w:rsidR="00133E0C" w:rsidRDefault="00133E0C" w:rsidP="00133E0C">
      <w:pPr>
        <w:pStyle w:val="Default"/>
        <w:jc w:val="both"/>
        <w:rPr>
          <w:sz w:val="20"/>
          <w:szCs w:val="20"/>
        </w:rPr>
      </w:pPr>
      <w:r>
        <w:rPr>
          <w:sz w:val="20"/>
          <w:szCs w:val="20"/>
        </w:rPr>
        <w:t>To reduce the impact of increased stormwater run-off on the drainage system and to facilitate on-site stormwater infiltration.</w:t>
      </w:r>
    </w:p>
    <w:p w14:paraId="240A4B49" w14:textId="77777777" w:rsidR="00133E0C" w:rsidRDefault="00133E0C" w:rsidP="00133E0C">
      <w:pPr>
        <w:autoSpaceDE w:val="0"/>
        <w:autoSpaceDN w:val="0"/>
        <w:adjustRightInd w:val="0"/>
        <w:spacing w:after="0" w:line="240" w:lineRule="auto"/>
        <w:jc w:val="both"/>
        <w:rPr>
          <w:rFonts w:ascii="Arial" w:hAnsi="Arial" w:cs="Arial"/>
          <w:b/>
          <w:bCs/>
        </w:rPr>
      </w:pPr>
    </w:p>
    <w:p w14:paraId="489657F8" w14:textId="27773A74" w:rsidR="002416E8" w:rsidRDefault="002416E8" w:rsidP="00133E0C">
      <w:pPr>
        <w:autoSpaceDE w:val="0"/>
        <w:autoSpaceDN w:val="0"/>
        <w:adjustRightInd w:val="0"/>
        <w:spacing w:after="0" w:line="240" w:lineRule="auto"/>
        <w:jc w:val="both"/>
        <w:rPr>
          <w:rFonts w:ascii="Arial" w:hAnsi="Arial" w:cs="Arial"/>
          <w:b/>
          <w:bCs/>
        </w:rPr>
      </w:pPr>
      <w:r w:rsidRPr="002416E8">
        <w:rPr>
          <w:rFonts w:ascii="Arial" w:hAnsi="Arial" w:cs="Arial"/>
          <w:b/>
          <w:bCs/>
        </w:rPr>
        <w:t>Decision Guidelines</w:t>
      </w:r>
    </w:p>
    <w:p w14:paraId="299A2953" w14:textId="6DE61511" w:rsidR="004549C2" w:rsidRDefault="004549C2" w:rsidP="00133E0C">
      <w:pPr>
        <w:pStyle w:val="Default"/>
        <w:jc w:val="both"/>
        <w:rPr>
          <w:sz w:val="20"/>
          <w:szCs w:val="20"/>
        </w:rPr>
      </w:pPr>
      <w:r>
        <w:rPr>
          <w:b/>
          <w:bCs/>
          <w:sz w:val="20"/>
          <w:szCs w:val="20"/>
        </w:rPr>
        <w:t xml:space="preserve"> </w:t>
      </w:r>
    </w:p>
    <w:p w14:paraId="1393AF1F" w14:textId="5E588D73" w:rsidR="00133E0C" w:rsidRDefault="00133E0C" w:rsidP="00133E0C">
      <w:pPr>
        <w:pStyle w:val="Default"/>
        <w:jc w:val="both"/>
        <w:rPr>
          <w:sz w:val="20"/>
          <w:szCs w:val="20"/>
        </w:rPr>
      </w:pPr>
      <w:r>
        <w:rPr>
          <w:sz w:val="20"/>
          <w:szCs w:val="20"/>
        </w:rPr>
        <w:t xml:space="preserve">The reporting authority may give its consent to an application for a building permit for a principal single dwelling or a small second dwelling (as applicable) that does not comply with regulation 77 </w:t>
      </w:r>
      <w:r>
        <w:rPr>
          <w:i/>
          <w:iCs/>
          <w:sz w:val="20"/>
          <w:szCs w:val="20"/>
        </w:rPr>
        <w:t xml:space="preserve">(Permeability) </w:t>
      </w:r>
      <w:r>
        <w:rPr>
          <w:sz w:val="20"/>
          <w:szCs w:val="20"/>
        </w:rPr>
        <w:t xml:space="preserve">of the Regulations if </w:t>
      </w:r>
      <w:r w:rsidRPr="00133E0C">
        <w:rPr>
          <w:b/>
          <w:bCs/>
          <w:sz w:val="20"/>
          <w:szCs w:val="20"/>
        </w:rPr>
        <w:t>at least one of the following criteria apply</w:t>
      </w:r>
      <w:r>
        <w:rPr>
          <w:sz w:val="20"/>
          <w:szCs w:val="20"/>
        </w:rPr>
        <w:t xml:space="preserve">: </w:t>
      </w:r>
    </w:p>
    <w:p w14:paraId="063769F8" w14:textId="77777777" w:rsidR="00133E0C" w:rsidRDefault="00133E0C" w:rsidP="00133E0C">
      <w:pPr>
        <w:pStyle w:val="Default"/>
        <w:jc w:val="both"/>
        <w:rPr>
          <w:sz w:val="20"/>
          <w:szCs w:val="20"/>
        </w:rPr>
      </w:pPr>
    </w:p>
    <w:p w14:paraId="23B20391" w14:textId="61440605" w:rsidR="00133E0C" w:rsidRDefault="00133E0C" w:rsidP="00133E0C">
      <w:pPr>
        <w:pStyle w:val="Default"/>
        <w:numPr>
          <w:ilvl w:val="0"/>
          <w:numId w:val="1"/>
        </w:numPr>
        <w:spacing w:after="121"/>
        <w:jc w:val="both"/>
        <w:rPr>
          <w:sz w:val="20"/>
          <w:szCs w:val="20"/>
        </w:rPr>
      </w:pPr>
      <w:r>
        <w:rPr>
          <w:sz w:val="20"/>
          <w:szCs w:val="20"/>
        </w:rPr>
        <w:t xml:space="preserve">a. the </w:t>
      </w:r>
      <w:proofErr w:type="gramStart"/>
      <w:r>
        <w:rPr>
          <w:sz w:val="20"/>
          <w:szCs w:val="20"/>
        </w:rPr>
        <w:t>amount</w:t>
      </w:r>
      <w:proofErr w:type="gramEnd"/>
      <w:r>
        <w:rPr>
          <w:sz w:val="20"/>
          <w:szCs w:val="20"/>
        </w:rPr>
        <w:t xml:space="preserve"> of impermeable surfaces after the principal single dwelling or small second dwelling has been constructed would be consistent with existing development on the allotment, if applicable; or</w:t>
      </w:r>
    </w:p>
    <w:p w14:paraId="11203A33" w14:textId="77777777" w:rsidR="00133E0C" w:rsidRDefault="00133E0C" w:rsidP="00133E0C">
      <w:pPr>
        <w:pStyle w:val="Default"/>
        <w:numPr>
          <w:ilvl w:val="0"/>
          <w:numId w:val="1"/>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09A7CABB" w14:textId="1C6564FC" w:rsidR="00133E0C" w:rsidRDefault="00133E0C" w:rsidP="00133E0C">
      <w:pPr>
        <w:pStyle w:val="Default"/>
        <w:spacing w:after="121"/>
        <w:jc w:val="both"/>
        <w:rPr>
          <w:sz w:val="20"/>
          <w:szCs w:val="20"/>
        </w:rPr>
      </w:pPr>
    </w:p>
    <w:p w14:paraId="78DFE2B2" w14:textId="4008CDFC" w:rsidR="00133E0C" w:rsidRDefault="00133E0C" w:rsidP="00133E0C">
      <w:pPr>
        <w:pStyle w:val="Default"/>
        <w:spacing w:after="121"/>
        <w:jc w:val="both"/>
        <w:rPr>
          <w:sz w:val="20"/>
          <w:szCs w:val="20"/>
        </w:rPr>
      </w:pPr>
    </w:p>
    <w:p w14:paraId="2CD31830" w14:textId="3953A289" w:rsidR="00133E0C" w:rsidRDefault="00133E0C" w:rsidP="00133E0C">
      <w:pPr>
        <w:pStyle w:val="Default"/>
        <w:spacing w:after="121"/>
        <w:jc w:val="both"/>
        <w:rPr>
          <w:sz w:val="20"/>
          <w:szCs w:val="20"/>
        </w:rPr>
      </w:pPr>
    </w:p>
    <w:p w14:paraId="588F24FB" w14:textId="068A8867" w:rsidR="00133E0C" w:rsidRDefault="00133E0C" w:rsidP="00133E0C">
      <w:pPr>
        <w:pStyle w:val="Default"/>
        <w:spacing w:after="121"/>
        <w:jc w:val="both"/>
        <w:rPr>
          <w:sz w:val="20"/>
          <w:szCs w:val="20"/>
        </w:rPr>
      </w:pPr>
    </w:p>
    <w:p w14:paraId="0B9F9B62" w14:textId="77777777" w:rsidR="00133E0C" w:rsidRDefault="00133E0C" w:rsidP="00133E0C">
      <w:pPr>
        <w:pStyle w:val="Default"/>
        <w:spacing w:after="121"/>
        <w:jc w:val="both"/>
        <w:rPr>
          <w:sz w:val="20"/>
          <w:szCs w:val="20"/>
        </w:rPr>
      </w:pPr>
    </w:p>
    <w:p w14:paraId="7F3F9A34" w14:textId="0518A86A" w:rsidR="00133E0C" w:rsidRDefault="00133E0C" w:rsidP="00133E0C">
      <w:pPr>
        <w:pStyle w:val="Default"/>
        <w:numPr>
          <w:ilvl w:val="0"/>
          <w:numId w:val="1"/>
        </w:numPr>
        <w:spacing w:after="121"/>
        <w:jc w:val="both"/>
        <w:rPr>
          <w:sz w:val="20"/>
          <w:szCs w:val="20"/>
        </w:rPr>
      </w:pPr>
      <w:r>
        <w:rPr>
          <w:sz w:val="20"/>
          <w:szCs w:val="20"/>
        </w:rPr>
        <w:t xml:space="preserve">b. the capacity of the drainage system servicing the allotment </w:t>
      </w:r>
      <w:proofErr w:type="gramStart"/>
      <w:r>
        <w:rPr>
          <w:sz w:val="20"/>
          <w:szCs w:val="20"/>
        </w:rPr>
        <w:t>is able to</w:t>
      </w:r>
      <w:proofErr w:type="gramEnd"/>
      <w:r>
        <w:rPr>
          <w:sz w:val="20"/>
          <w:szCs w:val="20"/>
        </w:rPr>
        <w:t xml:space="preserve"> accommodate the additional stormwater that the development will cause; or </w:t>
      </w:r>
    </w:p>
    <w:p w14:paraId="1E01AB9F" w14:textId="06F7D716" w:rsidR="00133E0C" w:rsidRPr="00133E0C" w:rsidRDefault="00133E0C" w:rsidP="00133E0C">
      <w:pPr>
        <w:pStyle w:val="Default"/>
        <w:numPr>
          <w:ilvl w:val="0"/>
          <w:numId w:val="1"/>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460BB680" w14:textId="6D031F1C" w:rsidR="00133E0C" w:rsidRDefault="00133E0C" w:rsidP="00133E0C">
      <w:pPr>
        <w:pStyle w:val="Default"/>
        <w:numPr>
          <w:ilvl w:val="0"/>
          <w:numId w:val="1"/>
        </w:numPr>
        <w:spacing w:after="121"/>
        <w:jc w:val="both"/>
        <w:rPr>
          <w:sz w:val="20"/>
          <w:szCs w:val="20"/>
        </w:rPr>
      </w:pPr>
      <w:r>
        <w:rPr>
          <w:sz w:val="20"/>
          <w:szCs w:val="20"/>
        </w:rPr>
        <w:t xml:space="preserve">c. on-site stormwater retention </w:t>
      </w:r>
      <w:proofErr w:type="gramStart"/>
      <w:r>
        <w:rPr>
          <w:sz w:val="20"/>
          <w:szCs w:val="20"/>
        </w:rPr>
        <w:t>is able to</w:t>
      </w:r>
      <w:proofErr w:type="gramEnd"/>
      <w:r>
        <w:rPr>
          <w:sz w:val="20"/>
          <w:szCs w:val="20"/>
        </w:rPr>
        <w:t xml:space="preserve"> accommodate the additional stormwater that the development will cause. </w:t>
      </w:r>
    </w:p>
    <w:p w14:paraId="04649251" w14:textId="77777777" w:rsidR="00133E0C" w:rsidRDefault="00133E0C" w:rsidP="00133E0C">
      <w:pPr>
        <w:pStyle w:val="Default"/>
        <w:numPr>
          <w:ilvl w:val="0"/>
          <w:numId w:val="1"/>
        </w:numPr>
        <w:spacing w:after="121"/>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w:t>
      </w:r>
    </w:p>
    <w:p w14:paraId="2BCD7740" w14:textId="77777777" w:rsidR="00133E0C" w:rsidRDefault="00133E0C" w:rsidP="00133E0C">
      <w:pPr>
        <w:pStyle w:val="Default"/>
        <w:numPr>
          <w:ilvl w:val="0"/>
          <w:numId w:val="1"/>
        </w:numPr>
        <w:spacing w:after="121"/>
        <w:jc w:val="both"/>
        <w:rPr>
          <w:sz w:val="20"/>
          <w:szCs w:val="20"/>
        </w:rPr>
      </w:pPr>
    </w:p>
    <w:p w14:paraId="5539D1F5" w14:textId="214DEC85" w:rsidR="00042482" w:rsidRDefault="00133E0C" w:rsidP="00133E0C">
      <w:pPr>
        <w:pStyle w:val="Default"/>
        <w:numPr>
          <w:ilvl w:val="0"/>
          <w:numId w:val="1"/>
        </w:numPr>
        <w:spacing w:after="121"/>
        <w:jc w:val="both"/>
        <w:rPr>
          <w:sz w:val="20"/>
          <w:szCs w:val="20"/>
        </w:rPr>
      </w:pPr>
      <w:r>
        <w:rPr>
          <w:sz w:val="20"/>
          <w:szCs w:val="20"/>
        </w:rPr>
        <w:t xml:space="preserve">In this Guideline, </w:t>
      </w:r>
      <w:r>
        <w:rPr>
          <w:b/>
          <w:bCs/>
          <w:i/>
          <w:iCs/>
          <w:sz w:val="20"/>
          <w:szCs w:val="20"/>
        </w:rPr>
        <w:t xml:space="preserve">drainage system </w:t>
      </w:r>
      <w:r>
        <w:rPr>
          <w:sz w:val="20"/>
          <w:szCs w:val="20"/>
        </w:rPr>
        <w:t xml:space="preserve">includes the relevant local council’s drainage system, Melbourne Water Corporation’s drainage system (if relevant) and the receiving waterways into which the stormwater flows. </w:t>
      </w:r>
    </w:p>
    <w:p w14:paraId="4E07A4DE" w14:textId="45775B8B" w:rsidR="00B87288" w:rsidRDefault="00B87288" w:rsidP="00B87288">
      <w:pPr>
        <w:pStyle w:val="Default"/>
        <w:jc w:val="both"/>
        <w:rPr>
          <w:sz w:val="20"/>
          <w:szCs w:val="20"/>
        </w:rPr>
      </w:pPr>
    </w:p>
    <w:p w14:paraId="0EFFCA4D" w14:textId="0600A78B" w:rsidR="00133E0C" w:rsidRDefault="00133E0C" w:rsidP="00B87288">
      <w:pPr>
        <w:pStyle w:val="Default"/>
        <w:jc w:val="both"/>
        <w:rPr>
          <w:sz w:val="20"/>
          <w:szCs w:val="20"/>
        </w:rPr>
      </w:pPr>
    </w:p>
    <w:p w14:paraId="6228427B" w14:textId="3D8B515C" w:rsidR="00133E0C" w:rsidRDefault="00133E0C" w:rsidP="00B87288">
      <w:pPr>
        <w:pStyle w:val="Default"/>
        <w:jc w:val="both"/>
        <w:rPr>
          <w:sz w:val="20"/>
          <w:szCs w:val="20"/>
        </w:rPr>
      </w:pPr>
    </w:p>
    <w:p w14:paraId="24BD06BF" w14:textId="02B89C71" w:rsidR="00133E0C" w:rsidRDefault="00133E0C" w:rsidP="00B87288">
      <w:pPr>
        <w:pStyle w:val="Default"/>
        <w:jc w:val="both"/>
        <w:rPr>
          <w:sz w:val="20"/>
          <w:szCs w:val="20"/>
        </w:rPr>
      </w:pPr>
    </w:p>
    <w:p w14:paraId="7F56405D" w14:textId="2AF01B29" w:rsidR="00133E0C" w:rsidRDefault="00133E0C" w:rsidP="00B87288">
      <w:pPr>
        <w:pStyle w:val="Default"/>
        <w:jc w:val="both"/>
        <w:rPr>
          <w:sz w:val="20"/>
          <w:szCs w:val="20"/>
        </w:rPr>
      </w:pPr>
    </w:p>
    <w:p w14:paraId="584EC989" w14:textId="61967E36" w:rsidR="00133E0C" w:rsidRDefault="00133E0C" w:rsidP="00B87288">
      <w:pPr>
        <w:pStyle w:val="Default"/>
        <w:jc w:val="both"/>
        <w:rPr>
          <w:sz w:val="20"/>
          <w:szCs w:val="20"/>
        </w:rPr>
      </w:pPr>
    </w:p>
    <w:p w14:paraId="6574B79B" w14:textId="49B494EB" w:rsidR="00133E0C" w:rsidRDefault="00133E0C" w:rsidP="00B87288">
      <w:pPr>
        <w:pStyle w:val="Default"/>
        <w:jc w:val="both"/>
        <w:rPr>
          <w:sz w:val="20"/>
          <w:szCs w:val="20"/>
        </w:rPr>
      </w:pPr>
    </w:p>
    <w:p w14:paraId="2FC1CC85" w14:textId="38CFD94B" w:rsidR="00133E0C" w:rsidRDefault="00133E0C" w:rsidP="00B87288">
      <w:pPr>
        <w:pStyle w:val="Default"/>
        <w:jc w:val="both"/>
        <w:rPr>
          <w:sz w:val="20"/>
          <w:szCs w:val="20"/>
        </w:rPr>
      </w:pPr>
    </w:p>
    <w:p w14:paraId="18CFD6F5" w14:textId="78763E21" w:rsidR="00133E0C" w:rsidRDefault="00133E0C" w:rsidP="00B87288">
      <w:pPr>
        <w:pStyle w:val="Default"/>
        <w:jc w:val="both"/>
        <w:rPr>
          <w:sz w:val="20"/>
          <w:szCs w:val="20"/>
        </w:rPr>
      </w:pPr>
    </w:p>
    <w:p w14:paraId="6B3A82FA" w14:textId="3EBFAEED" w:rsidR="00133E0C" w:rsidRDefault="00133E0C" w:rsidP="00B87288">
      <w:pPr>
        <w:pStyle w:val="Default"/>
        <w:jc w:val="both"/>
        <w:rPr>
          <w:sz w:val="20"/>
          <w:szCs w:val="20"/>
        </w:rPr>
      </w:pPr>
    </w:p>
    <w:p w14:paraId="5AA6888C" w14:textId="41D14384" w:rsidR="00133E0C" w:rsidRDefault="00133E0C" w:rsidP="00B87288">
      <w:pPr>
        <w:pStyle w:val="Default"/>
        <w:jc w:val="both"/>
        <w:rPr>
          <w:sz w:val="20"/>
          <w:szCs w:val="20"/>
        </w:rPr>
      </w:pPr>
    </w:p>
    <w:p w14:paraId="141804EF" w14:textId="78820077" w:rsidR="00133E0C" w:rsidRDefault="00133E0C" w:rsidP="00B87288">
      <w:pPr>
        <w:pStyle w:val="Default"/>
        <w:jc w:val="both"/>
        <w:rPr>
          <w:sz w:val="20"/>
          <w:szCs w:val="20"/>
        </w:rPr>
      </w:pPr>
    </w:p>
    <w:p w14:paraId="2E58C58D" w14:textId="1E9F707E" w:rsidR="00133E0C" w:rsidRDefault="00133E0C" w:rsidP="00B87288">
      <w:pPr>
        <w:pStyle w:val="Default"/>
        <w:jc w:val="both"/>
        <w:rPr>
          <w:sz w:val="20"/>
          <w:szCs w:val="20"/>
        </w:rPr>
      </w:pPr>
    </w:p>
    <w:p w14:paraId="65AB4313" w14:textId="76391DAB" w:rsidR="00133E0C" w:rsidRDefault="00133E0C" w:rsidP="00B87288">
      <w:pPr>
        <w:pStyle w:val="Default"/>
        <w:jc w:val="both"/>
        <w:rPr>
          <w:sz w:val="20"/>
          <w:szCs w:val="20"/>
        </w:rPr>
      </w:pPr>
    </w:p>
    <w:p w14:paraId="08342D4C" w14:textId="54BA7FF8" w:rsidR="00133E0C" w:rsidRDefault="00133E0C" w:rsidP="00B87288">
      <w:pPr>
        <w:pStyle w:val="Default"/>
        <w:jc w:val="both"/>
        <w:rPr>
          <w:sz w:val="20"/>
          <w:szCs w:val="20"/>
        </w:rPr>
      </w:pPr>
    </w:p>
    <w:p w14:paraId="11CC3240" w14:textId="61B07CF7" w:rsidR="00133E0C" w:rsidRDefault="00133E0C" w:rsidP="00B87288">
      <w:pPr>
        <w:pStyle w:val="Default"/>
        <w:jc w:val="both"/>
        <w:rPr>
          <w:sz w:val="20"/>
          <w:szCs w:val="20"/>
        </w:rPr>
      </w:pPr>
    </w:p>
    <w:p w14:paraId="4AB70704" w14:textId="6A9504E2" w:rsidR="00133E0C" w:rsidRDefault="00133E0C" w:rsidP="00B87288">
      <w:pPr>
        <w:pStyle w:val="Default"/>
        <w:jc w:val="both"/>
        <w:rPr>
          <w:sz w:val="20"/>
          <w:szCs w:val="20"/>
        </w:rPr>
      </w:pPr>
    </w:p>
    <w:p w14:paraId="71E94989" w14:textId="1DB6FB24" w:rsidR="00133E0C" w:rsidRDefault="00133E0C" w:rsidP="00B87288">
      <w:pPr>
        <w:pStyle w:val="Default"/>
        <w:jc w:val="both"/>
        <w:rPr>
          <w:sz w:val="20"/>
          <w:szCs w:val="20"/>
        </w:rPr>
      </w:pPr>
    </w:p>
    <w:p w14:paraId="0FCD5CFD" w14:textId="5474FF45" w:rsidR="00133E0C" w:rsidRDefault="00133E0C" w:rsidP="00B87288">
      <w:pPr>
        <w:pStyle w:val="Default"/>
        <w:jc w:val="both"/>
        <w:rPr>
          <w:sz w:val="20"/>
          <w:szCs w:val="20"/>
        </w:rPr>
      </w:pPr>
    </w:p>
    <w:p w14:paraId="2771DE19" w14:textId="56622B5D" w:rsidR="00133E0C" w:rsidRDefault="00133E0C" w:rsidP="00B87288">
      <w:pPr>
        <w:pStyle w:val="Default"/>
        <w:jc w:val="both"/>
        <w:rPr>
          <w:sz w:val="20"/>
          <w:szCs w:val="20"/>
        </w:rPr>
      </w:pPr>
    </w:p>
    <w:p w14:paraId="0F26772A" w14:textId="51B63AB5" w:rsidR="00133E0C" w:rsidRDefault="00133E0C" w:rsidP="00B87288">
      <w:pPr>
        <w:pStyle w:val="Default"/>
        <w:jc w:val="both"/>
        <w:rPr>
          <w:sz w:val="20"/>
          <w:szCs w:val="20"/>
        </w:rPr>
      </w:pPr>
    </w:p>
    <w:p w14:paraId="56F71149" w14:textId="5F5F0E0F" w:rsidR="00133E0C" w:rsidRDefault="00133E0C" w:rsidP="00B87288">
      <w:pPr>
        <w:pStyle w:val="Default"/>
        <w:jc w:val="both"/>
        <w:rPr>
          <w:sz w:val="20"/>
          <w:szCs w:val="20"/>
        </w:rPr>
      </w:pPr>
    </w:p>
    <w:p w14:paraId="5CAB4EE8" w14:textId="32FF04FB" w:rsidR="00133E0C" w:rsidRDefault="00133E0C" w:rsidP="00B87288">
      <w:pPr>
        <w:pStyle w:val="Default"/>
        <w:jc w:val="both"/>
        <w:rPr>
          <w:sz w:val="20"/>
          <w:szCs w:val="20"/>
        </w:rPr>
      </w:pPr>
    </w:p>
    <w:p w14:paraId="7C6EDDD5" w14:textId="44412D9D" w:rsidR="00133E0C" w:rsidRDefault="00133E0C" w:rsidP="00B87288">
      <w:pPr>
        <w:pStyle w:val="Default"/>
        <w:jc w:val="both"/>
        <w:rPr>
          <w:sz w:val="20"/>
          <w:szCs w:val="20"/>
        </w:rPr>
      </w:pPr>
    </w:p>
    <w:p w14:paraId="137FB5FB" w14:textId="25751EC6" w:rsidR="00133E0C" w:rsidRDefault="00133E0C" w:rsidP="00B87288">
      <w:pPr>
        <w:pStyle w:val="Default"/>
        <w:jc w:val="both"/>
        <w:rPr>
          <w:sz w:val="20"/>
          <w:szCs w:val="20"/>
        </w:rPr>
      </w:pPr>
    </w:p>
    <w:p w14:paraId="192A5B70" w14:textId="0902926F" w:rsidR="00133E0C" w:rsidRDefault="00133E0C" w:rsidP="00B87288">
      <w:pPr>
        <w:pStyle w:val="Default"/>
        <w:jc w:val="both"/>
        <w:rPr>
          <w:sz w:val="20"/>
          <w:szCs w:val="20"/>
        </w:rPr>
      </w:pPr>
    </w:p>
    <w:p w14:paraId="42B86F63" w14:textId="3895F23F" w:rsidR="00133E0C" w:rsidRDefault="00133E0C" w:rsidP="00B87288">
      <w:pPr>
        <w:pStyle w:val="Default"/>
        <w:jc w:val="both"/>
        <w:rPr>
          <w:sz w:val="20"/>
          <w:szCs w:val="20"/>
        </w:rPr>
      </w:pPr>
    </w:p>
    <w:p w14:paraId="6B7B2716" w14:textId="6E976CC7" w:rsidR="00133E0C" w:rsidRDefault="00133E0C" w:rsidP="00B87288">
      <w:pPr>
        <w:pStyle w:val="Default"/>
        <w:jc w:val="both"/>
        <w:rPr>
          <w:sz w:val="20"/>
          <w:szCs w:val="20"/>
        </w:rPr>
      </w:pPr>
    </w:p>
    <w:p w14:paraId="4234FCD0" w14:textId="05D38E69" w:rsidR="00133E0C" w:rsidRDefault="00133E0C" w:rsidP="00B87288">
      <w:pPr>
        <w:pStyle w:val="Default"/>
        <w:jc w:val="both"/>
        <w:rPr>
          <w:sz w:val="20"/>
          <w:szCs w:val="20"/>
        </w:rPr>
      </w:pPr>
    </w:p>
    <w:p w14:paraId="200AF344" w14:textId="5F23361E" w:rsidR="00133E0C" w:rsidRDefault="00133E0C" w:rsidP="00B87288">
      <w:pPr>
        <w:pStyle w:val="Default"/>
        <w:jc w:val="both"/>
        <w:rPr>
          <w:sz w:val="20"/>
          <w:szCs w:val="20"/>
        </w:rPr>
      </w:pPr>
    </w:p>
    <w:p w14:paraId="64E00280" w14:textId="00CCCE08" w:rsidR="00133E0C" w:rsidRDefault="00133E0C" w:rsidP="00B87288">
      <w:pPr>
        <w:pStyle w:val="Default"/>
        <w:jc w:val="both"/>
        <w:rPr>
          <w:sz w:val="20"/>
          <w:szCs w:val="20"/>
        </w:rPr>
      </w:pPr>
    </w:p>
    <w:p w14:paraId="4C08C11A" w14:textId="06E4E521" w:rsidR="00133E0C" w:rsidRDefault="00133E0C" w:rsidP="00B87288">
      <w:pPr>
        <w:pStyle w:val="Default"/>
        <w:jc w:val="both"/>
        <w:rPr>
          <w:sz w:val="20"/>
          <w:szCs w:val="20"/>
        </w:rPr>
      </w:pPr>
    </w:p>
    <w:p w14:paraId="1636EA66" w14:textId="53CB0280" w:rsidR="00133E0C" w:rsidRDefault="00133E0C" w:rsidP="00B87288">
      <w:pPr>
        <w:pStyle w:val="Default"/>
        <w:jc w:val="both"/>
        <w:rPr>
          <w:sz w:val="20"/>
          <w:szCs w:val="20"/>
        </w:rPr>
      </w:pPr>
    </w:p>
    <w:p w14:paraId="2E2BD23A" w14:textId="77777777" w:rsidR="00133E0C" w:rsidRDefault="00133E0C" w:rsidP="00B87288">
      <w:pPr>
        <w:pStyle w:val="Default"/>
        <w:jc w:val="both"/>
        <w:rPr>
          <w:b/>
          <w:bCs/>
          <w:sz w:val="18"/>
          <w:szCs w:val="18"/>
        </w:rPr>
      </w:pPr>
    </w:p>
    <w:p w14:paraId="7DD94FC6" w14:textId="79273DAC" w:rsidR="004549C2" w:rsidRDefault="004549C2" w:rsidP="00B87288">
      <w:pPr>
        <w:pStyle w:val="Default"/>
        <w:jc w:val="both"/>
        <w:rPr>
          <w:sz w:val="18"/>
          <w:szCs w:val="18"/>
        </w:rPr>
      </w:pPr>
      <w:r>
        <w:rPr>
          <w:b/>
          <w:bCs/>
          <w:sz w:val="18"/>
          <w:szCs w:val="18"/>
        </w:rPr>
        <w:t xml:space="preserve">INFORMATION PRIVACY: </w:t>
      </w:r>
      <w:r>
        <w:rPr>
          <w:sz w:val="18"/>
          <w:szCs w:val="18"/>
        </w:rPr>
        <w:t xml:space="preserve">The information supplied on this form is shared with the Victorian Building Authority, the Electoral Commission and other government agencies as required by law and in accordance with Council’s Privacy Policy which is published at </w:t>
      </w:r>
      <w:hyperlink r:id="rId7" w:history="1">
        <w:r w:rsidR="006F75DE" w:rsidRPr="005C58A3">
          <w:rPr>
            <w:rStyle w:val="Hyperlink"/>
            <w:sz w:val="18"/>
            <w:szCs w:val="18"/>
          </w:rPr>
          <w:t>www.whittlesea.vic.gov.au</w:t>
        </w:r>
      </w:hyperlink>
      <w:r w:rsidR="006F75DE">
        <w:rPr>
          <w:sz w:val="18"/>
          <w:szCs w:val="18"/>
        </w:rPr>
        <w:t xml:space="preserve"> </w:t>
      </w:r>
    </w:p>
    <w:p w14:paraId="259E1B63" w14:textId="14D65BD7" w:rsidR="004549C2" w:rsidRPr="006F75DE" w:rsidRDefault="004549C2" w:rsidP="00B87288">
      <w:pPr>
        <w:spacing w:after="0"/>
        <w:jc w:val="both"/>
        <w:rPr>
          <w:rFonts w:ascii="Arial" w:hAnsi="Arial" w:cs="Arial"/>
        </w:rPr>
      </w:pPr>
      <w:r w:rsidRPr="006F75DE">
        <w:rPr>
          <w:rFonts w:ascii="Arial" w:hAnsi="Arial" w:cs="Arial"/>
          <w:b/>
          <w:bCs/>
          <w:sz w:val="18"/>
          <w:szCs w:val="18"/>
        </w:rPr>
        <w:t xml:space="preserve">NOTE: </w:t>
      </w:r>
      <w:r w:rsidRPr="006F75DE">
        <w:rPr>
          <w:rFonts w:ascii="Arial" w:hAnsi="Arial" w:cs="Arial"/>
          <w:sz w:val="18"/>
          <w:szCs w:val="18"/>
        </w:rPr>
        <w:t>If you choose not to provide the information sought your application may not be processed.</w:t>
      </w:r>
    </w:p>
    <w:sectPr w:rsidR="004549C2" w:rsidRPr="006F75DE">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DEAC0" w14:textId="77777777" w:rsidR="004549C2" w:rsidRDefault="004549C2" w:rsidP="004549C2">
      <w:pPr>
        <w:spacing w:after="0" w:line="240" w:lineRule="auto"/>
      </w:pPr>
      <w:r>
        <w:separator/>
      </w:r>
    </w:p>
  </w:endnote>
  <w:endnote w:type="continuationSeparator" w:id="0">
    <w:p w14:paraId="7A28EA25" w14:textId="77777777" w:rsidR="004549C2" w:rsidRDefault="004549C2" w:rsidP="0045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0725A" w14:textId="77777777" w:rsidR="004549C2" w:rsidRDefault="004549C2" w:rsidP="004549C2">
      <w:pPr>
        <w:spacing w:after="0" w:line="240" w:lineRule="auto"/>
      </w:pPr>
      <w:r>
        <w:separator/>
      </w:r>
    </w:p>
  </w:footnote>
  <w:footnote w:type="continuationSeparator" w:id="0">
    <w:p w14:paraId="392025BE" w14:textId="77777777" w:rsidR="004549C2" w:rsidRDefault="004549C2" w:rsidP="00454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1426" w14:textId="5F0160DB" w:rsidR="004549C2" w:rsidRDefault="004549C2">
    <w:pPr>
      <w:pStyle w:val="Header"/>
    </w:pPr>
    <w:r w:rsidRPr="00390773">
      <w:rPr>
        <w:noProof/>
      </w:rPr>
      <w:drawing>
        <wp:anchor distT="0" distB="0" distL="114300" distR="114300" simplePos="0" relativeHeight="251659264" behindDoc="1" locked="1" layoutInCell="1" allowOverlap="1" wp14:anchorId="52EDA971" wp14:editId="09664841">
          <wp:simplePos x="0" y="0"/>
          <wp:positionH relativeFrom="page">
            <wp:posOffset>2540</wp:posOffset>
          </wp:positionH>
          <wp:positionV relativeFrom="page">
            <wp:posOffset>7620</wp:posOffset>
          </wp:positionV>
          <wp:extent cx="7569200" cy="107067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8DBC3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CE703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84B109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CFC30D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310519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284016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6FEC35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77A5625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77B4B93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42576661">
    <w:abstractNumId w:val="4"/>
  </w:num>
  <w:num w:numId="2" w16cid:durableId="123042894">
    <w:abstractNumId w:val="3"/>
  </w:num>
  <w:num w:numId="3" w16cid:durableId="386033489">
    <w:abstractNumId w:val="6"/>
  </w:num>
  <w:num w:numId="4" w16cid:durableId="797407992">
    <w:abstractNumId w:val="1"/>
  </w:num>
  <w:num w:numId="5" w16cid:durableId="75397071">
    <w:abstractNumId w:val="2"/>
  </w:num>
  <w:num w:numId="6" w16cid:durableId="1539775999">
    <w:abstractNumId w:val="7"/>
  </w:num>
  <w:num w:numId="7" w16cid:durableId="645402627">
    <w:abstractNumId w:val="8"/>
  </w:num>
  <w:num w:numId="8" w16cid:durableId="1464543662">
    <w:abstractNumId w:val="0"/>
  </w:num>
  <w:num w:numId="9" w16cid:durableId="145815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6E8"/>
    <w:rsid w:val="00042482"/>
    <w:rsid w:val="000431F1"/>
    <w:rsid w:val="000B322C"/>
    <w:rsid w:val="00133E0C"/>
    <w:rsid w:val="002416E8"/>
    <w:rsid w:val="002B676E"/>
    <w:rsid w:val="003D736A"/>
    <w:rsid w:val="004549C2"/>
    <w:rsid w:val="006F75DE"/>
    <w:rsid w:val="009D2646"/>
    <w:rsid w:val="00A14BEA"/>
    <w:rsid w:val="00B87288"/>
    <w:rsid w:val="00CE2025"/>
    <w:rsid w:val="00D31C1B"/>
    <w:rsid w:val="00E11FA9"/>
    <w:rsid w:val="00FF34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6D52B1"/>
  <w15:chartTrackingRefBased/>
  <w15:docId w15:val="{743791FE-CC25-4794-AD08-3816087F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6E8"/>
    <w:pPr>
      <w:ind w:left="720"/>
      <w:contextualSpacing/>
    </w:pPr>
  </w:style>
  <w:style w:type="paragraph" w:customStyle="1" w:styleId="Default">
    <w:name w:val="Default"/>
    <w:rsid w:val="004549C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54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9C2"/>
  </w:style>
  <w:style w:type="paragraph" w:styleId="Footer">
    <w:name w:val="footer"/>
    <w:basedOn w:val="Normal"/>
    <w:link w:val="FooterChar"/>
    <w:uiPriority w:val="99"/>
    <w:unhideWhenUsed/>
    <w:rsid w:val="00454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9C2"/>
  </w:style>
  <w:style w:type="character" w:styleId="Hyperlink">
    <w:name w:val="Hyperlink"/>
    <w:basedOn w:val="DefaultParagraphFont"/>
    <w:uiPriority w:val="99"/>
    <w:unhideWhenUsed/>
    <w:rsid w:val="006F75DE"/>
    <w:rPr>
      <w:color w:val="0563C1" w:themeColor="hyperlink"/>
      <w:u w:val="single"/>
    </w:rPr>
  </w:style>
  <w:style w:type="character" w:styleId="UnresolvedMention">
    <w:name w:val="Unresolved Mention"/>
    <w:basedOn w:val="DefaultParagraphFont"/>
    <w:uiPriority w:val="99"/>
    <w:semiHidden/>
    <w:unhideWhenUsed/>
    <w:rsid w:val="006F7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hittlesea.vic.gov.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635</Words>
  <Characters>3626</Characters>
  <Application>Microsoft Office Word</Application>
  <DocSecurity>0</DocSecurity>
  <Lines>30</Lines>
  <Paragraphs>8</Paragraphs>
  <ScaleCrop>false</ScaleCrop>
  <Company>Moreland City Council</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González Camacho</dc:creator>
  <cp:keywords/>
  <dc:description/>
  <cp:lastModifiedBy>Sergio Gonzalez-Camacho</cp:lastModifiedBy>
  <cp:revision>3</cp:revision>
  <cp:lastPrinted>2024-10-04T00:45:00Z</cp:lastPrinted>
  <dcterms:created xsi:type="dcterms:W3CDTF">2024-10-04T00:46:00Z</dcterms:created>
  <dcterms:modified xsi:type="dcterms:W3CDTF">2024-10-04T00:49:00Z</dcterms:modified>
</cp:coreProperties>
</file>