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ED519D">
      <w:pPr>
        <w:autoSpaceDE w:val="0"/>
        <w:autoSpaceDN w:val="0"/>
        <w:adjustRightInd w:val="0"/>
        <w:spacing w:after="0" w:line="240" w:lineRule="auto"/>
        <w:jc w:val="both"/>
        <w:rPr>
          <w:rFonts w:ascii="Arial" w:hAnsi="Arial" w:cs="Arial"/>
          <w:b/>
          <w:bCs/>
        </w:rPr>
      </w:pPr>
    </w:p>
    <w:p w14:paraId="00B918C2" w14:textId="77777777" w:rsidR="004549C2" w:rsidRDefault="004549C2" w:rsidP="00ED519D">
      <w:pPr>
        <w:autoSpaceDE w:val="0"/>
        <w:autoSpaceDN w:val="0"/>
        <w:adjustRightInd w:val="0"/>
        <w:spacing w:after="0" w:line="240" w:lineRule="auto"/>
        <w:jc w:val="both"/>
        <w:rPr>
          <w:rFonts w:ascii="Arial" w:hAnsi="Arial" w:cs="Arial"/>
          <w:b/>
          <w:bCs/>
        </w:rPr>
      </w:pPr>
    </w:p>
    <w:p w14:paraId="7E719CA0" w14:textId="53A112EF" w:rsidR="00E623B1" w:rsidRDefault="00E623B1" w:rsidP="00ED519D">
      <w:pPr>
        <w:autoSpaceDE w:val="0"/>
        <w:autoSpaceDN w:val="0"/>
        <w:adjustRightInd w:val="0"/>
        <w:spacing w:after="0" w:line="240" w:lineRule="auto"/>
        <w:jc w:val="both"/>
        <w:rPr>
          <w:rFonts w:ascii="Arial" w:hAnsi="Arial" w:cs="Arial"/>
          <w:b/>
          <w:bCs/>
          <w:sz w:val="28"/>
          <w:szCs w:val="28"/>
        </w:rPr>
      </w:pPr>
    </w:p>
    <w:p w14:paraId="6E5CD1D0" w14:textId="31D946B5" w:rsidR="002416E8" w:rsidRPr="004549C2" w:rsidRDefault="00E623B1" w:rsidP="00ED519D">
      <w:pPr>
        <w:autoSpaceDE w:val="0"/>
        <w:autoSpaceDN w:val="0"/>
        <w:adjustRightInd w:val="0"/>
        <w:spacing w:after="0" w:line="240" w:lineRule="auto"/>
        <w:jc w:val="both"/>
        <w:rPr>
          <w:rFonts w:ascii="Arial" w:hAnsi="Arial" w:cs="Arial"/>
          <w:b/>
          <w:bCs/>
          <w:sz w:val="28"/>
          <w:szCs w:val="28"/>
        </w:rPr>
      </w:pPr>
      <w:r w:rsidRPr="00E623B1">
        <w:rPr>
          <w:rFonts w:ascii="Arial" w:hAnsi="Arial" w:cs="Arial"/>
          <w:b/>
          <w:bCs/>
          <w:sz w:val="28"/>
          <w:szCs w:val="28"/>
        </w:rPr>
        <w:t>SIDE AND REAR SETBACKS</w:t>
      </w:r>
    </w:p>
    <w:p w14:paraId="79EA00C9" w14:textId="77777777" w:rsidR="002416E8" w:rsidRPr="002416E8" w:rsidRDefault="002416E8" w:rsidP="00ED519D">
      <w:pPr>
        <w:autoSpaceDE w:val="0"/>
        <w:autoSpaceDN w:val="0"/>
        <w:adjustRightInd w:val="0"/>
        <w:spacing w:after="0" w:line="240" w:lineRule="auto"/>
        <w:jc w:val="both"/>
        <w:rPr>
          <w:rFonts w:ascii="Arial" w:hAnsi="Arial" w:cs="Arial"/>
          <w:b/>
          <w:bCs/>
        </w:rPr>
      </w:pPr>
    </w:p>
    <w:p w14:paraId="2690686A" w14:textId="77777777" w:rsidR="004549C2" w:rsidRDefault="004549C2" w:rsidP="00ED519D">
      <w:pPr>
        <w:autoSpaceDE w:val="0"/>
        <w:autoSpaceDN w:val="0"/>
        <w:adjustRightInd w:val="0"/>
        <w:spacing w:after="0" w:line="240" w:lineRule="auto"/>
        <w:jc w:val="both"/>
        <w:rPr>
          <w:rFonts w:ascii="Arial" w:hAnsi="Arial" w:cs="Arial"/>
          <w:b/>
          <w:bCs/>
        </w:rPr>
      </w:pPr>
    </w:p>
    <w:p w14:paraId="079654C6" w14:textId="5A04FADF" w:rsidR="004549C2" w:rsidRDefault="004549C2" w:rsidP="00ED519D">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ED519D">
      <w:pPr>
        <w:autoSpaceDE w:val="0"/>
        <w:autoSpaceDN w:val="0"/>
        <w:adjustRightInd w:val="0"/>
        <w:spacing w:after="0" w:line="240" w:lineRule="auto"/>
        <w:jc w:val="both"/>
        <w:rPr>
          <w:sz w:val="23"/>
          <w:szCs w:val="23"/>
        </w:rPr>
      </w:pPr>
    </w:p>
    <w:p w14:paraId="2D3EF4CA" w14:textId="0F705A92" w:rsidR="004549C2" w:rsidRDefault="004549C2" w:rsidP="00ED519D">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ED519D">
      <w:pPr>
        <w:pStyle w:val="Default"/>
        <w:jc w:val="both"/>
        <w:rPr>
          <w:sz w:val="20"/>
          <w:szCs w:val="20"/>
        </w:rPr>
      </w:pPr>
    </w:p>
    <w:p w14:paraId="6341C073" w14:textId="77777777" w:rsidR="004549C2" w:rsidRDefault="004549C2" w:rsidP="00ED519D">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ED519D">
      <w:pPr>
        <w:pStyle w:val="Default"/>
        <w:jc w:val="both"/>
        <w:rPr>
          <w:sz w:val="20"/>
          <w:szCs w:val="20"/>
        </w:rPr>
      </w:pPr>
      <w:r>
        <w:rPr>
          <w:sz w:val="20"/>
          <w:szCs w:val="20"/>
        </w:rPr>
        <w:t xml:space="preserve">In this Guideline— </w:t>
      </w:r>
    </w:p>
    <w:p w14:paraId="7C003E9B" w14:textId="77777777" w:rsidR="004549C2" w:rsidRDefault="004549C2" w:rsidP="00ED519D">
      <w:pPr>
        <w:pStyle w:val="Default"/>
        <w:jc w:val="both"/>
        <w:rPr>
          <w:sz w:val="20"/>
          <w:szCs w:val="20"/>
        </w:rPr>
      </w:pPr>
    </w:p>
    <w:p w14:paraId="25F19BAD" w14:textId="77777777" w:rsidR="004549C2" w:rsidRDefault="004549C2" w:rsidP="00ED519D">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w:t>
      </w:r>
      <w:proofErr w:type="gramStart"/>
      <w:r>
        <w:rPr>
          <w:sz w:val="20"/>
          <w:szCs w:val="20"/>
        </w:rPr>
        <w:t>constructed;</w:t>
      </w:r>
      <w:proofErr w:type="gramEnd"/>
      <w:r>
        <w:rPr>
          <w:sz w:val="20"/>
          <w:szCs w:val="20"/>
        </w:rPr>
        <w:t xml:space="preserve"> </w:t>
      </w:r>
    </w:p>
    <w:p w14:paraId="40EDFC36" w14:textId="77777777" w:rsidR="004549C2" w:rsidRDefault="004549C2" w:rsidP="00ED519D">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w:t>
      </w:r>
      <w:proofErr w:type="gramStart"/>
      <w:r>
        <w:rPr>
          <w:sz w:val="20"/>
          <w:szCs w:val="20"/>
        </w:rPr>
        <w:t>fence;</w:t>
      </w:r>
      <w:proofErr w:type="gramEnd"/>
      <w:r>
        <w:rPr>
          <w:sz w:val="20"/>
          <w:szCs w:val="20"/>
        </w:rPr>
        <w:t xml:space="preserve"> </w:t>
      </w:r>
    </w:p>
    <w:p w14:paraId="04F17E96" w14:textId="77777777" w:rsidR="004549C2" w:rsidRDefault="004549C2" w:rsidP="00ED519D">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 xml:space="preserve">Building Regulations </w:t>
      </w:r>
      <w:proofErr w:type="gramStart"/>
      <w:r>
        <w:rPr>
          <w:i/>
          <w:iCs/>
          <w:sz w:val="20"/>
          <w:szCs w:val="20"/>
        </w:rPr>
        <w:t>2018</w:t>
      </w:r>
      <w:r>
        <w:rPr>
          <w:sz w:val="20"/>
          <w:szCs w:val="20"/>
        </w:rPr>
        <w:t>;</w:t>
      </w:r>
      <w:proofErr w:type="gramEnd"/>
      <w:r>
        <w:rPr>
          <w:sz w:val="20"/>
          <w:szCs w:val="20"/>
        </w:rPr>
        <w:t xml:space="preserve"> </w:t>
      </w:r>
    </w:p>
    <w:p w14:paraId="3F91E13C" w14:textId="77777777" w:rsidR="004549C2" w:rsidRDefault="004549C2" w:rsidP="00ED519D">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has the same meaning as it has under section 188</w:t>
      </w:r>
      <w:proofErr w:type="gramStart"/>
      <w:r>
        <w:rPr>
          <w:sz w:val="20"/>
          <w:szCs w:val="20"/>
        </w:rPr>
        <w:t>A(</w:t>
      </w:r>
      <w:proofErr w:type="gramEnd"/>
      <w:r>
        <w:rPr>
          <w:sz w:val="20"/>
          <w:szCs w:val="20"/>
        </w:rPr>
        <w:t xml:space="preserve">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ED519D">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ED519D">
      <w:pPr>
        <w:autoSpaceDE w:val="0"/>
        <w:autoSpaceDN w:val="0"/>
        <w:adjustRightInd w:val="0"/>
        <w:spacing w:after="0" w:line="240" w:lineRule="auto"/>
        <w:jc w:val="both"/>
        <w:rPr>
          <w:rFonts w:ascii="Arial" w:hAnsi="Arial" w:cs="Arial"/>
          <w:b/>
          <w:bCs/>
        </w:rPr>
      </w:pPr>
    </w:p>
    <w:p w14:paraId="212D1256" w14:textId="0D0280FA" w:rsidR="002416E8" w:rsidRDefault="002416E8" w:rsidP="00ED519D">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592535B2" w14:textId="6A8AC203" w:rsidR="002416E8" w:rsidRDefault="002416E8" w:rsidP="00ED519D">
      <w:pPr>
        <w:autoSpaceDE w:val="0"/>
        <w:autoSpaceDN w:val="0"/>
        <w:adjustRightInd w:val="0"/>
        <w:spacing w:after="0" w:line="240" w:lineRule="auto"/>
        <w:jc w:val="both"/>
        <w:rPr>
          <w:rFonts w:ascii="Arial" w:hAnsi="Arial" w:cs="Arial"/>
          <w:b/>
          <w:bCs/>
        </w:rPr>
      </w:pPr>
    </w:p>
    <w:p w14:paraId="16962692" w14:textId="46838A5E" w:rsidR="00EB01E4" w:rsidRDefault="00E623B1" w:rsidP="00ED519D">
      <w:pPr>
        <w:pStyle w:val="Default"/>
        <w:jc w:val="both"/>
        <w:rPr>
          <w:sz w:val="20"/>
          <w:szCs w:val="20"/>
        </w:rPr>
      </w:pPr>
      <w:r>
        <w:rPr>
          <w:sz w:val="20"/>
          <w:szCs w:val="20"/>
        </w:rPr>
        <w:t xml:space="preserve">To ensure that the height and setback of a building from a boundary respects the existing or preferred character and limits the impact on the amenity of existing dwellings. </w:t>
      </w:r>
      <w:r w:rsidR="00EB01E4">
        <w:rPr>
          <w:sz w:val="20"/>
          <w:szCs w:val="20"/>
        </w:rPr>
        <w:t xml:space="preserve"> </w:t>
      </w:r>
    </w:p>
    <w:p w14:paraId="62681FB9" w14:textId="77777777" w:rsidR="00EB01E4" w:rsidRDefault="00EB01E4" w:rsidP="00ED519D">
      <w:pPr>
        <w:pStyle w:val="Default"/>
        <w:jc w:val="both"/>
        <w:rPr>
          <w:sz w:val="20"/>
          <w:szCs w:val="20"/>
        </w:rPr>
      </w:pPr>
    </w:p>
    <w:p w14:paraId="489657F8" w14:textId="27773A74" w:rsidR="002416E8" w:rsidRDefault="002416E8" w:rsidP="00ED519D">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299A2953" w14:textId="6DE61511" w:rsidR="004549C2" w:rsidRDefault="004549C2" w:rsidP="00ED519D">
      <w:pPr>
        <w:pStyle w:val="Default"/>
        <w:jc w:val="both"/>
        <w:rPr>
          <w:sz w:val="20"/>
          <w:szCs w:val="20"/>
        </w:rPr>
      </w:pPr>
      <w:r>
        <w:rPr>
          <w:b/>
          <w:bCs/>
          <w:sz w:val="20"/>
          <w:szCs w:val="20"/>
        </w:rPr>
        <w:t xml:space="preserve"> </w:t>
      </w:r>
    </w:p>
    <w:p w14:paraId="26A86490" w14:textId="2526A335" w:rsidR="00E623B1" w:rsidRDefault="00E623B1" w:rsidP="00ED519D">
      <w:pPr>
        <w:pStyle w:val="Default"/>
        <w:jc w:val="both"/>
        <w:rPr>
          <w:sz w:val="20"/>
          <w:szCs w:val="20"/>
        </w:rPr>
      </w:pPr>
      <w:r>
        <w:rPr>
          <w:sz w:val="20"/>
          <w:szCs w:val="20"/>
        </w:rPr>
        <w:t xml:space="preserve">The reporting authority may give its consent to an application for a building permit for a principal single dwelling or a small second dwelling (as applicable) that does not comply with regulation 79 </w:t>
      </w:r>
      <w:r>
        <w:rPr>
          <w:i/>
          <w:iCs/>
          <w:sz w:val="20"/>
          <w:szCs w:val="20"/>
        </w:rPr>
        <w:t xml:space="preserve">(Side and rear setbacks) </w:t>
      </w:r>
      <w:r>
        <w:rPr>
          <w:sz w:val="20"/>
          <w:szCs w:val="20"/>
        </w:rPr>
        <w:t xml:space="preserve">of the Regulations if— </w:t>
      </w:r>
    </w:p>
    <w:p w14:paraId="01B4FDDB" w14:textId="564FF940" w:rsidR="00E623B1" w:rsidRPr="00E623B1" w:rsidRDefault="00E623B1" w:rsidP="00ED519D">
      <w:pPr>
        <w:pStyle w:val="Default"/>
        <w:jc w:val="both"/>
        <w:rPr>
          <w:b/>
          <w:bCs/>
          <w:sz w:val="20"/>
          <w:szCs w:val="20"/>
        </w:rPr>
      </w:pPr>
      <w:proofErr w:type="gramStart"/>
      <w:r w:rsidRPr="00E623B1">
        <w:rPr>
          <w:b/>
          <w:bCs/>
          <w:sz w:val="20"/>
          <w:szCs w:val="20"/>
        </w:rPr>
        <w:t>all of</w:t>
      </w:r>
      <w:proofErr w:type="gramEnd"/>
      <w:r w:rsidRPr="00E623B1">
        <w:rPr>
          <w:b/>
          <w:bCs/>
          <w:sz w:val="20"/>
          <w:szCs w:val="20"/>
        </w:rPr>
        <w:t xml:space="preserve"> the following criteria apply: </w:t>
      </w:r>
    </w:p>
    <w:p w14:paraId="5519F3A6" w14:textId="77777777" w:rsidR="00E623B1" w:rsidRDefault="00E623B1" w:rsidP="00ED519D">
      <w:pPr>
        <w:pStyle w:val="Default"/>
        <w:jc w:val="both"/>
        <w:rPr>
          <w:sz w:val="20"/>
          <w:szCs w:val="20"/>
        </w:rPr>
      </w:pPr>
    </w:p>
    <w:p w14:paraId="177B7A7A" w14:textId="77777777" w:rsidR="00E623B1" w:rsidRDefault="00E623B1" w:rsidP="00ED519D">
      <w:pPr>
        <w:pStyle w:val="Default"/>
        <w:numPr>
          <w:ilvl w:val="0"/>
          <w:numId w:val="1"/>
        </w:numPr>
        <w:jc w:val="both"/>
        <w:rPr>
          <w:sz w:val="20"/>
          <w:szCs w:val="20"/>
        </w:rPr>
      </w:pPr>
      <w:r>
        <w:rPr>
          <w:sz w:val="20"/>
          <w:szCs w:val="20"/>
        </w:rPr>
        <w:t xml:space="preserve">a. the setback will not result in a significant impact on the amenity of the secluded private open space and habitable room windows of existing dwellings on nearby allotments; and </w:t>
      </w:r>
    </w:p>
    <w:p w14:paraId="11203A33" w14:textId="77777777" w:rsidR="00133E0C" w:rsidRDefault="00133E0C" w:rsidP="00ED519D">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09A7CABB" w14:textId="1C6564FC" w:rsidR="00133E0C" w:rsidRDefault="00133E0C" w:rsidP="00ED519D">
      <w:pPr>
        <w:pStyle w:val="Default"/>
        <w:spacing w:after="121"/>
        <w:jc w:val="both"/>
        <w:rPr>
          <w:sz w:val="20"/>
          <w:szCs w:val="20"/>
        </w:rPr>
      </w:pPr>
    </w:p>
    <w:p w14:paraId="78DFE2B2" w14:textId="4008CDFC" w:rsidR="00133E0C" w:rsidRDefault="00133E0C" w:rsidP="00ED519D">
      <w:pPr>
        <w:pStyle w:val="Default"/>
        <w:spacing w:after="121"/>
        <w:jc w:val="both"/>
        <w:rPr>
          <w:sz w:val="20"/>
          <w:szCs w:val="20"/>
        </w:rPr>
      </w:pPr>
    </w:p>
    <w:p w14:paraId="2CD31830" w14:textId="3953A289" w:rsidR="00133E0C" w:rsidRDefault="00133E0C" w:rsidP="00ED519D">
      <w:pPr>
        <w:pStyle w:val="Default"/>
        <w:spacing w:after="121"/>
        <w:jc w:val="both"/>
        <w:rPr>
          <w:sz w:val="20"/>
          <w:szCs w:val="20"/>
        </w:rPr>
      </w:pPr>
    </w:p>
    <w:p w14:paraId="588F24FB" w14:textId="068A8867" w:rsidR="00133E0C" w:rsidRDefault="00133E0C" w:rsidP="00ED519D">
      <w:pPr>
        <w:pStyle w:val="Default"/>
        <w:spacing w:after="121"/>
        <w:jc w:val="both"/>
        <w:rPr>
          <w:sz w:val="20"/>
          <w:szCs w:val="20"/>
        </w:rPr>
      </w:pPr>
    </w:p>
    <w:p w14:paraId="0B9F9B62" w14:textId="77777777" w:rsidR="00133E0C" w:rsidRDefault="00133E0C" w:rsidP="00ED519D">
      <w:pPr>
        <w:pStyle w:val="Default"/>
        <w:spacing w:after="121"/>
        <w:jc w:val="both"/>
        <w:rPr>
          <w:sz w:val="20"/>
          <w:szCs w:val="20"/>
        </w:rPr>
      </w:pPr>
    </w:p>
    <w:p w14:paraId="1B3C39B2" w14:textId="77777777" w:rsidR="00EB01E4" w:rsidRDefault="00EB01E4" w:rsidP="00ED519D">
      <w:pPr>
        <w:pStyle w:val="Default"/>
        <w:jc w:val="both"/>
      </w:pPr>
    </w:p>
    <w:p w14:paraId="1FA66960" w14:textId="77777777" w:rsidR="00E623B1" w:rsidRDefault="00E623B1" w:rsidP="00ED519D">
      <w:pPr>
        <w:pStyle w:val="Default"/>
        <w:jc w:val="both"/>
      </w:pPr>
    </w:p>
    <w:p w14:paraId="4E255A4C" w14:textId="45A8D0CC" w:rsidR="00E623B1" w:rsidRDefault="00E623B1" w:rsidP="00ED519D">
      <w:pPr>
        <w:pStyle w:val="Default"/>
        <w:numPr>
          <w:ilvl w:val="0"/>
          <w:numId w:val="1"/>
        </w:numPr>
        <w:spacing w:after="123"/>
        <w:jc w:val="both"/>
        <w:rPr>
          <w:sz w:val="20"/>
          <w:szCs w:val="20"/>
        </w:rPr>
      </w:pPr>
      <w:r>
        <w:rPr>
          <w:sz w:val="20"/>
          <w:szCs w:val="20"/>
        </w:rPr>
        <w:t xml:space="preserve">b. the setback is consistent with a building envelope, if one has been approved under a planning scheme or planning permit and or specified in an agreement under section 173 of the </w:t>
      </w:r>
      <w:r>
        <w:rPr>
          <w:i/>
          <w:iCs/>
          <w:sz w:val="20"/>
          <w:szCs w:val="20"/>
        </w:rPr>
        <w:t>Planning and Environment Act 1987</w:t>
      </w:r>
      <w:r>
        <w:rPr>
          <w:sz w:val="20"/>
          <w:szCs w:val="20"/>
        </w:rPr>
        <w:t xml:space="preserve">; and </w:t>
      </w:r>
    </w:p>
    <w:p w14:paraId="785EFF2B" w14:textId="58A3FB4F" w:rsidR="00E623B1" w:rsidRPr="00E623B1" w:rsidRDefault="00E623B1" w:rsidP="00ED519D">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0A05E7F6" w14:textId="25ECDC9E" w:rsidR="00E623B1" w:rsidRDefault="00E623B1" w:rsidP="00ED519D">
      <w:pPr>
        <w:pStyle w:val="Default"/>
        <w:numPr>
          <w:ilvl w:val="0"/>
          <w:numId w:val="1"/>
        </w:numPr>
        <w:spacing w:after="123"/>
        <w:jc w:val="both"/>
        <w:rPr>
          <w:sz w:val="20"/>
          <w:szCs w:val="20"/>
        </w:rPr>
      </w:pPr>
      <w:r>
        <w:rPr>
          <w:sz w:val="20"/>
          <w:szCs w:val="20"/>
        </w:rPr>
        <w:t xml:space="preserve">c. the setback will not result in a disruption of the streetscape; and </w:t>
      </w:r>
    </w:p>
    <w:p w14:paraId="0AD867DA" w14:textId="5B72C819" w:rsidR="00E623B1" w:rsidRPr="00E623B1" w:rsidRDefault="00E623B1" w:rsidP="00ED519D">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1FA06D62" w14:textId="77777777" w:rsidR="00E623B1" w:rsidRDefault="00E623B1" w:rsidP="00ED519D">
      <w:pPr>
        <w:pStyle w:val="Default"/>
        <w:numPr>
          <w:ilvl w:val="0"/>
          <w:numId w:val="1"/>
        </w:numPr>
        <w:jc w:val="both"/>
        <w:rPr>
          <w:sz w:val="20"/>
          <w:szCs w:val="20"/>
        </w:rPr>
      </w:pPr>
      <w:r>
        <w:rPr>
          <w:sz w:val="20"/>
          <w:szCs w:val="20"/>
        </w:rPr>
        <w:t xml:space="preserve">d. the setback is consistent with any relevant neighbourhood character objective, policy or statement set out in the relevant planning scheme, and </w:t>
      </w:r>
    </w:p>
    <w:p w14:paraId="69E7D040" w14:textId="68890FDF" w:rsidR="00EB01E4" w:rsidRPr="00EB01E4" w:rsidRDefault="00EB01E4" w:rsidP="00ED519D">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707E185C" w14:textId="72FA81F0" w:rsidR="00EB01E4" w:rsidRDefault="00EB01E4" w:rsidP="00ED519D">
      <w:pPr>
        <w:pStyle w:val="Default"/>
        <w:numPr>
          <w:ilvl w:val="0"/>
          <w:numId w:val="1"/>
        </w:numPr>
        <w:jc w:val="both"/>
        <w:rPr>
          <w:sz w:val="20"/>
          <w:szCs w:val="20"/>
        </w:rPr>
      </w:pPr>
      <w:r>
        <w:rPr>
          <w:sz w:val="20"/>
          <w:szCs w:val="20"/>
        </w:rPr>
        <w:t xml:space="preserve"> </w:t>
      </w:r>
    </w:p>
    <w:p w14:paraId="30797231" w14:textId="387BA67E" w:rsidR="00EB01E4" w:rsidRDefault="00EB01E4" w:rsidP="00ED519D">
      <w:pPr>
        <w:pStyle w:val="Default"/>
        <w:jc w:val="both"/>
        <w:rPr>
          <w:b/>
          <w:bCs/>
          <w:sz w:val="20"/>
          <w:szCs w:val="20"/>
        </w:rPr>
      </w:pPr>
      <w:r w:rsidRPr="00EB01E4">
        <w:rPr>
          <w:b/>
          <w:bCs/>
          <w:sz w:val="20"/>
          <w:szCs w:val="20"/>
        </w:rPr>
        <w:t xml:space="preserve">at least one of the following criteria apply: </w:t>
      </w:r>
    </w:p>
    <w:p w14:paraId="13C40271" w14:textId="77777777" w:rsidR="00ED519D" w:rsidRDefault="00ED519D" w:rsidP="00ED519D">
      <w:pPr>
        <w:pStyle w:val="Default"/>
        <w:jc w:val="both"/>
      </w:pPr>
    </w:p>
    <w:p w14:paraId="619E6152" w14:textId="79DFF3F6" w:rsidR="00ED519D" w:rsidRDefault="00ED519D" w:rsidP="00ED519D">
      <w:pPr>
        <w:pStyle w:val="Default"/>
        <w:numPr>
          <w:ilvl w:val="0"/>
          <w:numId w:val="13"/>
        </w:numPr>
        <w:spacing w:after="121"/>
        <w:jc w:val="both"/>
        <w:rPr>
          <w:sz w:val="20"/>
          <w:szCs w:val="20"/>
        </w:rPr>
      </w:pPr>
      <w:r>
        <w:rPr>
          <w:sz w:val="20"/>
          <w:szCs w:val="20"/>
        </w:rPr>
        <w:t xml:space="preserve">e. the setback will be more appropriate </w:t>
      </w:r>
      <w:proofErr w:type="gramStart"/>
      <w:r>
        <w:rPr>
          <w:sz w:val="20"/>
          <w:szCs w:val="20"/>
        </w:rPr>
        <w:t>taking into account</w:t>
      </w:r>
      <w:proofErr w:type="gramEnd"/>
      <w:r>
        <w:rPr>
          <w:sz w:val="20"/>
          <w:szCs w:val="20"/>
        </w:rPr>
        <w:t xml:space="preserve"> the prevailing setback of existing buildings on nearby allotments; or </w:t>
      </w:r>
    </w:p>
    <w:p w14:paraId="1F9F2060" w14:textId="48EE27D8" w:rsidR="00ED519D" w:rsidRPr="00ED519D" w:rsidRDefault="00ED519D" w:rsidP="00ED519D">
      <w:pPr>
        <w:pStyle w:val="Default"/>
        <w:numPr>
          <w:ilvl w:val="0"/>
          <w:numId w:val="13"/>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14087071" w14:textId="737B5C7D" w:rsidR="00ED519D" w:rsidRDefault="00ED519D" w:rsidP="00ED519D">
      <w:pPr>
        <w:pStyle w:val="Default"/>
        <w:numPr>
          <w:ilvl w:val="0"/>
          <w:numId w:val="13"/>
        </w:numPr>
        <w:spacing w:after="121"/>
        <w:jc w:val="both"/>
        <w:rPr>
          <w:sz w:val="20"/>
          <w:szCs w:val="20"/>
        </w:rPr>
      </w:pPr>
      <w:r>
        <w:rPr>
          <w:sz w:val="20"/>
          <w:szCs w:val="20"/>
        </w:rPr>
        <w:t xml:space="preserve">f. the setback will be more appropriate </w:t>
      </w:r>
      <w:proofErr w:type="gramStart"/>
      <w:r>
        <w:rPr>
          <w:sz w:val="20"/>
          <w:szCs w:val="20"/>
        </w:rPr>
        <w:t>taking into account</w:t>
      </w:r>
      <w:proofErr w:type="gramEnd"/>
      <w:r>
        <w:rPr>
          <w:sz w:val="20"/>
          <w:szCs w:val="20"/>
        </w:rPr>
        <w:t xml:space="preserve"> the preferred character of the area, where it has been identified in the relevant planning scheme; or </w:t>
      </w:r>
    </w:p>
    <w:p w14:paraId="5E980B23" w14:textId="13F4F1AA" w:rsidR="00ED519D" w:rsidRPr="00ED519D" w:rsidRDefault="00ED519D" w:rsidP="00ED519D">
      <w:pPr>
        <w:pStyle w:val="Default"/>
        <w:numPr>
          <w:ilvl w:val="0"/>
          <w:numId w:val="13"/>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22CE56E0" w14:textId="677D28FC" w:rsidR="00ED519D" w:rsidRDefault="00ED519D" w:rsidP="00ED519D">
      <w:pPr>
        <w:pStyle w:val="Default"/>
        <w:numPr>
          <w:ilvl w:val="0"/>
          <w:numId w:val="13"/>
        </w:numPr>
        <w:spacing w:after="121"/>
        <w:jc w:val="both"/>
        <w:rPr>
          <w:sz w:val="20"/>
          <w:szCs w:val="20"/>
        </w:rPr>
      </w:pPr>
      <w:r>
        <w:rPr>
          <w:sz w:val="20"/>
          <w:szCs w:val="20"/>
        </w:rPr>
        <w:t xml:space="preserve">g. the slope of the allotment and or existing retaining walls or fences reduce the effective height of the building; or </w:t>
      </w:r>
    </w:p>
    <w:p w14:paraId="479A283C" w14:textId="5974F516" w:rsidR="00ED519D" w:rsidRPr="00ED519D" w:rsidRDefault="00ED519D" w:rsidP="00ED519D">
      <w:pPr>
        <w:pStyle w:val="Default"/>
        <w:numPr>
          <w:ilvl w:val="0"/>
          <w:numId w:val="13"/>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60E78F36" w14:textId="76EB2B06" w:rsidR="00ED519D" w:rsidRDefault="00ED519D" w:rsidP="00ED519D">
      <w:pPr>
        <w:pStyle w:val="Default"/>
        <w:numPr>
          <w:ilvl w:val="0"/>
          <w:numId w:val="13"/>
        </w:numPr>
        <w:spacing w:after="121"/>
        <w:jc w:val="both"/>
        <w:rPr>
          <w:sz w:val="20"/>
          <w:szCs w:val="20"/>
        </w:rPr>
      </w:pPr>
      <w:r>
        <w:rPr>
          <w:sz w:val="20"/>
          <w:szCs w:val="20"/>
        </w:rPr>
        <w:t xml:space="preserve">h. the building abuts a side or rear lane; or </w:t>
      </w:r>
    </w:p>
    <w:p w14:paraId="36DE83CF" w14:textId="363D8D3E" w:rsidR="00ED519D" w:rsidRPr="00ED519D" w:rsidRDefault="00ED519D" w:rsidP="00ED519D">
      <w:pPr>
        <w:pStyle w:val="Default"/>
        <w:numPr>
          <w:ilvl w:val="0"/>
          <w:numId w:val="13"/>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2E6E0188" w14:textId="77777777" w:rsidR="00ED519D" w:rsidRDefault="00ED519D" w:rsidP="00ED519D">
      <w:pPr>
        <w:pStyle w:val="Default"/>
        <w:numPr>
          <w:ilvl w:val="0"/>
          <w:numId w:val="13"/>
        </w:numPr>
        <w:jc w:val="both"/>
        <w:rPr>
          <w:sz w:val="20"/>
          <w:szCs w:val="20"/>
        </w:rPr>
      </w:pPr>
      <w:proofErr w:type="spellStart"/>
      <w:r>
        <w:rPr>
          <w:sz w:val="20"/>
          <w:szCs w:val="20"/>
        </w:rPr>
        <w:t>i</w:t>
      </w:r>
      <w:proofErr w:type="spellEnd"/>
      <w:r>
        <w:rPr>
          <w:sz w:val="20"/>
          <w:szCs w:val="20"/>
        </w:rPr>
        <w:t xml:space="preserve">. the building is opposite an existing wall built to or within 150mm of the boundary. </w:t>
      </w:r>
    </w:p>
    <w:p w14:paraId="20AB0CC8" w14:textId="77777777" w:rsidR="003D705F" w:rsidRPr="00133E0C" w:rsidRDefault="003D705F" w:rsidP="00ED519D">
      <w:pPr>
        <w:pStyle w:val="Default"/>
        <w:numPr>
          <w:ilvl w:val="0"/>
          <w:numId w:val="13"/>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7DD94FC6" w14:textId="4BF849D8" w:rsidR="004549C2" w:rsidRDefault="00ED519D" w:rsidP="00ED519D">
      <w:pPr>
        <w:pStyle w:val="Default"/>
        <w:jc w:val="both"/>
        <w:rPr>
          <w:sz w:val="18"/>
          <w:szCs w:val="18"/>
        </w:rPr>
      </w:pPr>
      <w:r>
        <w:rPr>
          <w:b/>
          <w:bCs/>
          <w:sz w:val="18"/>
          <w:szCs w:val="18"/>
        </w:rPr>
        <w:t>I</w:t>
      </w:r>
      <w:r w:rsidR="004549C2">
        <w:rPr>
          <w:b/>
          <w:bCs/>
          <w:sz w:val="18"/>
          <w:szCs w:val="18"/>
        </w:rPr>
        <w:t xml:space="preserve">NFORMATION PRIVACY: </w:t>
      </w:r>
      <w:r w:rsidR="004549C2">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7" w:history="1">
        <w:r w:rsidR="006F75DE" w:rsidRPr="005C58A3">
          <w:rPr>
            <w:rStyle w:val="Hyperlink"/>
            <w:sz w:val="18"/>
            <w:szCs w:val="18"/>
          </w:rPr>
          <w:t>www.whittlesea.vic.gov.au</w:t>
        </w:r>
      </w:hyperlink>
      <w:r w:rsidR="006F75DE">
        <w:rPr>
          <w:sz w:val="18"/>
          <w:szCs w:val="18"/>
        </w:rPr>
        <w:t xml:space="preserve"> </w:t>
      </w:r>
    </w:p>
    <w:p w14:paraId="259E1B63" w14:textId="14D65BD7" w:rsidR="004549C2" w:rsidRPr="006F75DE" w:rsidRDefault="004549C2" w:rsidP="00ED519D">
      <w:pPr>
        <w:spacing w:after="0"/>
        <w:jc w:val="both"/>
        <w:rPr>
          <w:rFonts w:ascii="Arial" w:hAnsi="Arial" w:cs="Arial"/>
        </w:rPr>
      </w:pPr>
      <w:r w:rsidRPr="006F75DE">
        <w:rPr>
          <w:rFonts w:ascii="Arial" w:hAnsi="Arial" w:cs="Arial"/>
          <w:b/>
          <w:bCs/>
          <w:sz w:val="18"/>
          <w:szCs w:val="18"/>
        </w:rPr>
        <w:t xml:space="preserve">NOTE: </w:t>
      </w:r>
      <w:r w:rsidRPr="006F75DE">
        <w:rPr>
          <w:rFonts w:ascii="Arial" w:hAnsi="Arial" w:cs="Arial"/>
          <w:sz w:val="18"/>
          <w:szCs w:val="18"/>
        </w:rPr>
        <w:t>If you choose not to provide the information sought your application may not be processed.</w:t>
      </w:r>
    </w:p>
    <w:sectPr w:rsidR="004549C2" w:rsidRPr="006F75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8DBC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CE70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6ADFB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E4A7D0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AD0D4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84B10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1ECC81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0CB7AE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9C4752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28401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4FB01C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7A5625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7B4B93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9"/>
  </w:num>
  <w:num w:numId="2" w16cid:durableId="123042894">
    <w:abstractNumId w:val="8"/>
  </w:num>
  <w:num w:numId="3" w16cid:durableId="386033489">
    <w:abstractNumId w:val="12"/>
  </w:num>
  <w:num w:numId="4" w16cid:durableId="797407992">
    <w:abstractNumId w:val="1"/>
  </w:num>
  <w:num w:numId="5" w16cid:durableId="75397071">
    <w:abstractNumId w:val="5"/>
  </w:num>
  <w:num w:numId="6" w16cid:durableId="1539775999">
    <w:abstractNumId w:val="14"/>
  </w:num>
  <w:num w:numId="7" w16cid:durableId="645402627">
    <w:abstractNumId w:val="15"/>
  </w:num>
  <w:num w:numId="8" w16cid:durableId="1464543662">
    <w:abstractNumId w:val="0"/>
  </w:num>
  <w:num w:numId="9" w16cid:durableId="14581528">
    <w:abstractNumId w:val="11"/>
  </w:num>
  <w:num w:numId="10" w16cid:durableId="2119526596">
    <w:abstractNumId w:val="7"/>
  </w:num>
  <w:num w:numId="11" w16cid:durableId="2002342621">
    <w:abstractNumId w:val="13"/>
  </w:num>
  <w:num w:numId="12" w16cid:durableId="902256422">
    <w:abstractNumId w:val="3"/>
  </w:num>
  <w:num w:numId="13" w16cid:durableId="1100175563">
    <w:abstractNumId w:val="4"/>
  </w:num>
  <w:num w:numId="14" w16cid:durableId="430660915">
    <w:abstractNumId w:val="10"/>
  </w:num>
  <w:num w:numId="15" w16cid:durableId="667294343">
    <w:abstractNumId w:val="6"/>
  </w:num>
  <w:num w:numId="16" w16cid:durableId="743456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0431F1"/>
    <w:rsid w:val="000B322C"/>
    <w:rsid w:val="00133E0C"/>
    <w:rsid w:val="002416E8"/>
    <w:rsid w:val="00285163"/>
    <w:rsid w:val="002B676E"/>
    <w:rsid w:val="003D705F"/>
    <w:rsid w:val="003D736A"/>
    <w:rsid w:val="004549C2"/>
    <w:rsid w:val="00551688"/>
    <w:rsid w:val="006F75DE"/>
    <w:rsid w:val="00876457"/>
    <w:rsid w:val="009D2646"/>
    <w:rsid w:val="00A14BEA"/>
    <w:rsid w:val="00B87288"/>
    <w:rsid w:val="00C208D1"/>
    <w:rsid w:val="00CE2025"/>
    <w:rsid w:val="00D31C1B"/>
    <w:rsid w:val="00E11FA9"/>
    <w:rsid w:val="00E623B1"/>
    <w:rsid w:val="00EB01E4"/>
    <w:rsid w:val="00ED519D"/>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6F75DE"/>
    <w:rPr>
      <w:color w:val="0563C1" w:themeColor="hyperlink"/>
      <w:u w:val="single"/>
    </w:rPr>
  </w:style>
  <w:style w:type="character" w:styleId="UnresolvedMention">
    <w:name w:val="Unresolved Mention"/>
    <w:basedOn w:val="DefaultParagraphFont"/>
    <w:uiPriority w:val="99"/>
    <w:semiHidden/>
    <w:unhideWhenUsed/>
    <w:rsid w:val="006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hittlese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3</cp:revision>
  <cp:lastPrinted>2024-10-04T00:56:00Z</cp:lastPrinted>
  <dcterms:created xsi:type="dcterms:W3CDTF">2024-10-04T00:57:00Z</dcterms:created>
  <dcterms:modified xsi:type="dcterms:W3CDTF">2024-10-04T01:00:00Z</dcterms:modified>
</cp:coreProperties>
</file>